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21C7D" w14:textId="77777777" w:rsidR="009F20F8" w:rsidRPr="009E4A07" w:rsidRDefault="009F20F8" w:rsidP="009F20F8">
      <w:pPr>
        <w:ind w:left="7080"/>
        <w:rPr>
          <w:rFonts w:ascii="DeutscheBank" w:hAnsi="DeutscheBank"/>
          <w:noProof/>
          <w:sz w:val="28"/>
          <w:szCs w:val="28"/>
        </w:rPr>
      </w:pPr>
      <w:r w:rsidRPr="009E4A07">
        <w:rPr>
          <w:rFonts w:ascii="DeutscheBank" w:hAnsi="DeutscheBank"/>
          <w:noProof/>
          <w:sz w:val="28"/>
          <w:szCs w:val="28"/>
        </w:rPr>
        <w:drawing>
          <wp:anchor distT="0" distB="0" distL="114300" distR="114300" simplePos="0" relativeHeight="251658241" behindDoc="0" locked="0" layoutInCell="1" allowOverlap="1" wp14:anchorId="504A3614" wp14:editId="4A096E1D">
            <wp:simplePos x="0" y="0"/>
            <wp:positionH relativeFrom="margin">
              <wp:posOffset>-1010920</wp:posOffset>
            </wp:positionH>
            <wp:positionV relativeFrom="paragraph">
              <wp:posOffset>-4570920</wp:posOffset>
            </wp:positionV>
            <wp:extent cx="7857490" cy="13968153"/>
            <wp:effectExtent l="0" t="0" r="0" b="0"/>
            <wp:wrapNone/>
            <wp:docPr id="1926643548" name="Grafik 8" descr="Stylized digital map of Europe showing a blue low-poly geographic network. White connecting lines and nodes span countries, while magenta boundary accents highlight borders and regional outlines against a light-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43548" name="Grafik 8" descr="Stylized digital map of Europe showing a blue low-poly geographic network. White connecting lines and nodes span countries, while magenta boundary accents highlight borders and regional outlines against a light-blue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57490" cy="139681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BB436" w14:textId="77777777" w:rsidR="009F20F8" w:rsidRPr="001710B7" w:rsidRDefault="009F20F8" w:rsidP="009F20F8">
      <w:pPr>
        <w:ind w:left="7080"/>
        <w:rPr>
          <w:sz w:val="28"/>
          <w:szCs w:val="28"/>
        </w:rPr>
      </w:pPr>
      <w:r w:rsidRPr="001710B7">
        <w:rPr>
          <w:rFonts w:ascii="DeutscheBank" w:hAnsi="DeutscheBank"/>
          <w:noProof/>
          <w:sz w:val="28"/>
          <w:szCs w:val="28"/>
        </w:rPr>
        <w:t xml:space="preserve"> </w:t>
      </w:r>
    </w:p>
    <w:p w14:paraId="4A0D5C6D" w14:textId="77777777" w:rsidR="009F20F8" w:rsidRDefault="009F20F8" w:rsidP="009F20F8">
      <w:pPr>
        <w:rPr>
          <w:rFonts w:ascii="DeutscheBank" w:hAnsi="DeutscheBank"/>
          <w:noProof/>
        </w:rPr>
      </w:pPr>
    </w:p>
    <w:p w14:paraId="7D9F8F25" w14:textId="77777777" w:rsidR="009F20F8" w:rsidRDefault="009F20F8" w:rsidP="009F20F8">
      <w:pPr>
        <w:rPr>
          <w:rFonts w:ascii="DeutscheBank" w:hAnsi="DeutscheBank"/>
          <w:noProof/>
        </w:rPr>
      </w:pPr>
    </w:p>
    <w:p w14:paraId="6D437E91" w14:textId="77777777" w:rsidR="009F20F8" w:rsidRDefault="009F20F8" w:rsidP="009F20F8">
      <w:pPr>
        <w:rPr>
          <w:rFonts w:ascii="DeutscheBank" w:hAnsi="DeutscheBank"/>
          <w:noProof/>
        </w:rPr>
      </w:pPr>
    </w:p>
    <w:p w14:paraId="515B71E4" w14:textId="77777777" w:rsidR="009F20F8" w:rsidRDefault="009F20F8" w:rsidP="009F20F8">
      <w:pPr>
        <w:rPr>
          <w:rFonts w:ascii="DeutscheBank" w:hAnsi="DeutscheBank"/>
          <w:noProof/>
        </w:rPr>
      </w:pPr>
    </w:p>
    <w:p w14:paraId="3C2D235A" w14:textId="77777777" w:rsidR="009F20F8" w:rsidRDefault="009F20F8" w:rsidP="009F20F8">
      <w:pPr>
        <w:rPr>
          <w:rFonts w:ascii="DeutscheBank" w:hAnsi="DeutscheBank"/>
          <w:noProof/>
        </w:rPr>
      </w:pPr>
    </w:p>
    <w:p w14:paraId="2AB20046" w14:textId="77777777" w:rsidR="009F20F8" w:rsidRDefault="009F20F8" w:rsidP="009F20F8">
      <w:pPr>
        <w:rPr>
          <w:rFonts w:ascii="DeutscheBank" w:hAnsi="DeutscheBank"/>
          <w:noProof/>
        </w:rPr>
      </w:pPr>
    </w:p>
    <w:p w14:paraId="09C14956" w14:textId="77777777" w:rsidR="009F20F8" w:rsidRDefault="009F20F8" w:rsidP="009F20F8">
      <w:pPr>
        <w:rPr>
          <w:rFonts w:ascii="DeutscheBank" w:hAnsi="DeutscheBank"/>
          <w:noProof/>
        </w:rPr>
      </w:pPr>
    </w:p>
    <w:p w14:paraId="57271BCB" w14:textId="77777777" w:rsidR="009F20F8" w:rsidRDefault="009F20F8" w:rsidP="009F20F8">
      <w:pPr>
        <w:rPr>
          <w:rFonts w:ascii="DeutscheBank" w:hAnsi="DeutscheBank"/>
          <w:noProof/>
        </w:rPr>
      </w:pPr>
    </w:p>
    <w:p w14:paraId="12621364" w14:textId="77777777" w:rsidR="009F20F8" w:rsidRPr="001E5405" w:rsidRDefault="009F20F8" w:rsidP="009F20F8">
      <w:pPr>
        <w:jc w:val="both"/>
        <w:rPr>
          <w:rFonts w:ascii="DeutscheBank" w:hAnsi="DeutscheBank"/>
        </w:rPr>
      </w:pPr>
    </w:p>
    <w:p w14:paraId="578E923B" w14:textId="77777777" w:rsidR="009F20F8" w:rsidRPr="001E5405" w:rsidRDefault="009F20F8" w:rsidP="009F20F8">
      <w:pPr>
        <w:jc w:val="both"/>
        <w:rPr>
          <w:rFonts w:ascii="DeutscheBank" w:hAnsi="DeutscheBank"/>
        </w:rPr>
      </w:pPr>
    </w:p>
    <w:p w14:paraId="138CD666" w14:textId="77777777" w:rsidR="009F20F8" w:rsidRPr="001E5405" w:rsidRDefault="009F20F8" w:rsidP="009F20F8">
      <w:pPr>
        <w:spacing w:after="200"/>
        <w:jc w:val="both"/>
        <w:rPr>
          <w:rFonts w:ascii="DeutscheBank" w:hAnsi="DeutscheBank"/>
          <w:lang w:val="en-GB"/>
        </w:rPr>
      </w:pPr>
    </w:p>
    <w:p w14:paraId="1D09CF4A" w14:textId="77777777" w:rsidR="009F20F8" w:rsidRPr="001E5405" w:rsidRDefault="009F20F8" w:rsidP="009F20F8">
      <w:pPr>
        <w:jc w:val="both"/>
        <w:rPr>
          <w:rFonts w:ascii="DeutscheBank" w:hAnsi="DeutscheBank"/>
        </w:rPr>
      </w:pPr>
    </w:p>
    <w:p w14:paraId="1C620142" w14:textId="2A5A5314" w:rsidR="009F20F8" w:rsidRDefault="00531945" w:rsidP="009F20F8">
      <w:pPr>
        <w:spacing w:after="160" w:line="24" w:lineRule="auto"/>
        <w:rPr>
          <w:rFonts w:ascii="DeutscheBank" w:eastAsiaTheme="majorEastAsia" w:hAnsi="DeutscheBank" w:cstheme="majorBidi"/>
          <w:b/>
          <w:bCs/>
          <w:color w:val="1E2A78" w:themeColor="accent1"/>
          <w:sz w:val="28"/>
          <w:szCs w:val="28"/>
          <w:lang w:val="en-GB"/>
        </w:rPr>
      </w:pPr>
      <w:r w:rsidRPr="001E5405">
        <w:rPr>
          <w:rFonts w:ascii="DeutscheBank" w:hAnsi="DeutscheBank"/>
          <w:noProof/>
        </w:rPr>
        <mc:AlternateContent>
          <mc:Choice Requires="wps">
            <w:drawing>
              <wp:anchor distT="0" distB="0" distL="114300" distR="114300" simplePos="0" relativeHeight="251658243" behindDoc="0" locked="0" layoutInCell="1" allowOverlap="1" wp14:anchorId="6631FF6E" wp14:editId="195219C1">
                <wp:simplePos x="0" y="0"/>
                <wp:positionH relativeFrom="margin">
                  <wp:align>center</wp:align>
                </wp:positionH>
                <wp:positionV relativeFrom="paragraph">
                  <wp:posOffset>2668138</wp:posOffset>
                </wp:positionV>
                <wp:extent cx="4476750" cy="2496709"/>
                <wp:effectExtent l="0" t="0" r="0" b="0"/>
                <wp:wrapNone/>
                <wp:docPr id="1672722455" name="Textfeld 7"/>
                <wp:cNvGraphicFramePr/>
                <a:graphic xmlns:a="http://schemas.openxmlformats.org/drawingml/2006/main">
                  <a:graphicData uri="http://schemas.microsoft.com/office/word/2010/wordprocessingShape">
                    <wps:wsp>
                      <wps:cNvSpPr/>
                      <wps:spPr>
                        <a:xfrm>
                          <a:off x="0" y="0"/>
                          <a:ext cx="4476750" cy="2496709"/>
                        </a:xfrm>
                        <a:prstGeom prst="rect">
                          <a:avLst/>
                        </a:prstGeom>
                        <a:solidFill>
                          <a:srgbClr val="1E2A78">
                            <a:alpha val="50000"/>
                          </a:srgbClr>
                        </a:solidFill>
                        <a:ln w="6350">
                          <a:noFill/>
                        </a:ln>
                      </wps:spPr>
                      <wps:txbx>
                        <w:txbxContent>
                          <w:p w14:paraId="18C91814" w14:textId="77777777" w:rsidR="00531945" w:rsidRPr="00F876B7" w:rsidRDefault="00531945" w:rsidP="00531945">
                            <w:pPr>
                              <w:pStyle w:val="Subtitle"/>
                              <w:rPr>
                                <w:color w:val="FFFFFF" w:themeColor="background1"/>
                                <w:lang w:val="en-US"/>
                              </w:rPr>
                            </w:pPr>
                            <w:r w:rsidRPr="00F876B7">
                              <w:rPr>
                                <w:b/>
                                <w:color w:val="FFFFFF" w:themeColor="background1"/>
                                <w:lang w:val="en-US"/>
                              </w:rPr>
                              <w:t>Deutsche Bank</w:t>
                            </w:r>
                            <w:r w:rsidRPr="00F876B7">
                              <w:rPr>
                                <w:color w:val="FFFFFF" w:themeColor="background1"/>
                                <w:lang w:val="en-US"/>
                              </w:rPr>
                              <w:t xml:space="preserve"> </w:t>
                            </w:r>
                            <w:r w:rsidRPr="00F876B7">
                              <w:rPr>
                                <w:color w:val="FFFFFF" w:themeColor="background1"/>
                                <w:lang w:val="en-US"/>
                              </w:rPr>
                              <w:br/>
                              <w:t>Global Sentiment Survey on Europe 2026</w:t>
                            </w:r>
                            <w:r w:rsidRPr="00F876B7">
                              <w:rPr>
                                <w:color w:val="FFFFFF" w:themeColor="background1"/>
                                <w:lang w:val="en-US"/>
                              </w:rPr>
                              <w:br/>
                            </w:r>
                          </w:p>
                          <w:p w14:paraId="4DD558E1" w14:textId="77777777" w:rsidR="00117910" w:rsidRDefault="00531945" w:rsidP="00531945">
                            <w:pPr>
                              <w:pStyle w:val="Title"/>
                              <w:rPr>
                                <w:color w:val="FFFFFF" w:themeColor="background1"/>
                              </w:rPr>
                            </w:pPr>
                            <w:r w:rsidRPr="009A1DAA">
                              <w:rPr>
                                <w:color w:val="FFFFFF" w:themeColor="background1"/>
                              </w:rPr>
                              <w:t xml:space="preserve">Die Welt setzt auf Europa. </w:t>
                            </w:r>
                          </w:p>
                          <w:p w14:paraId="75AD6A24" w14:textId="0CD7CCB8" w:rsidR="00531945" w:rsidRPr="000E3D12" w:rsidRDefault="00531945" w:rsidP="00531945">
                            <w:pPr>
                              <w:pStyle w:val="Title"/>
                              <w:rPr>
                                <w:color w:val="FFFFFF" w:themeColor="background1"/>
                              </w:rPr>
                            </w:pPr>
                            <w:r w:rsidRPr="000E3D12">
                              <w:rPr>
                                <w:color w:val="FFFFFF" w:themeColor="background1"/>
                              </w:rPr>
                              <w:t>Jetzt muss Europa liefern.</w:t>
                            </w:r>
                            <w:r w:rsidRPr="000E3D12">
                              <w:rPr>
                                <w:color w:val="FFFFFF" w:themeColor="background1"/>
                              </w:rPr>
                              <w:br/>
                            </w:r>
                          </w:p>
                          <w:p w14:paraId="18CDCDBC" w14:textId="77777777" w:rsidR="00531945" w:rsidRPr="00F57A91" w:rsidRDefault="00531945" w:rsidP="00531945">
                            <w:pPr>
                              <w:pStyle w:val="Intro"/>
                              <w:ind w:left="0"/>
                            </w:pPr>
                            <w:r w:rsidRPr="00F57A91">
                              <w:t>Wie internationale Unternehmen Europa als Investitionsstandort wahrnehmen</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6631FF6E" id="Textfeld 7" o:spid="_x0000_s1026" style="position:absolute;margin-left:0;margin-top:210.1pt;width:352.5pt;height:196.6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" fillcolor="#1e2a78" stroked="f" strokeweight=".5pt">
                <v:fill opacity="32896f"/>
                <v:textbox>
                  <w:txbxContent>
                    <w:p w14:paraId="18C91814" w14:textId="77777777" w:rsidR="00531945" w:rsidRPr="00F876B7" w:rsidRDefault="00531945" w:rsidP="00531945">
                      <w:pPr>
                        <w:pStyle w:val="Untertitel"/>
                        <w:rPr>
                          <w:color w:val="FFFFFF" w:themeColor="background1"/>
                          <w:lang w:val="en-US"/>
                        </w:rPr>
                      </w:pPr>
                      <w:r w:rsidRPr="00F876B7">
                        <w:rPr>
                          <w:b/>
                          <w:color w:val="FFFFFF" w:themeColor="background1"/>
                          <w:lang w:val="en-US"/>
                        </w:rPr>
                        <w:t>Deutsche Bank</w:t>
                      </w:r>
                      <w:r w:rsidRPr="00F876B7">
                        <w:rPr>
                          <w:color w:val="FFFFFF" w:themeColor="background1"/>
                          <w:lang w:val="en-US"/>
                        </w:rPr>
                        <w:t xml:space="preserve"> </w:t>
                      </w:r>
                      <w:r w:rsidRPr="00F876B7">
                        <w:rPr>
                          <w:color w:val="FFFFFF" w:themeColor="background1"/>
                          <w:lang w:val="en-US"/>
                        </w:rPr>
                        <w:br/>
                        <w:t>Global Sentiment Survey on Europe 2026</w:t>
                      </w:r>
                      <w:r w:rsidRPr="00F876B7">
                        <w:rPr>
                          <w:color w:val="FFFFFF" w:themeColor="background1"/>
                          <w:lang w:val="en-US"/>
                        </w:rPr>
                        <w:br/>
                      </w:r>
                    </w:p>
                    <w:p w14:paraId="4DD558E1" w14:textId="77777777" w:rsidR="00117910" w:rsidRDefault="00531945" w:rsidP="00531945">
                      <w:pPr>
                        <w:pStyle w:val="Titel"/>
                        <w:rPr>
                          <w:color w:val="FFFFFF" w:themeColor="background1"/>
                        </w:rPr>
                      </w:pPr>
                      <w:r w:rsidRPr="009A1DAA">
                        <w:rPr>
                          <w:color w:val="FFFFFF" w:themeColor="background1"/>
                        </w:rPr>
                        <w:t xml:space="preserve">Die Welt setzt auf Europa. </w:t>
                      </w:r>
                    </w:p>
                    <w:p w14:paraId="75AD6A24" w14:textId="0CD7CCB8" w:rsidR="00531945" w:rsidRPr="000E3D12" w:rsidRDefault="00531945" w:rsidP="00531945">
                      <w:pPr>
                        <w:pStyle w:val="Titel"/>
                        <w:rPr>
                          <w:color w:val="FFFFFF" w:themeColor="background1"/>
                        </w:rPr>
                      </w:pPr>
                      <w:r w:rsidRPr="000E3D12">
                        <w:rPr>
                          <w:color w:val="FFFFFF" w:themeColor="background1"/>
                        </w:rPr>
                        <w:t>Jetzt muss Europa liefern.</w:t>
                      </w:r>
                      <w:r w:rsidRPr="000E3D12">
                        <w:rPr>
                          <w:color w:val="FFFFFF" w:themeColor="background1"/>
                        </w:rPr>
                        <w:br/>
                      </w:r>
                    </w:p>
                    <w:p w14:paraId="18CDCDBC" w14:textId="77777777" w:rsidR="00531945" w:rsidRPr="00F57A91" w:rsidRDefault="00531945" w:rsidP="00531945">
                      <w:pPr>
                        <w:pStyle w:val="Intro"/>
                        <w:ind w:left="0"/>
                      </w:pPr>
                      <w:r w:rsidRPr="00F57A91">
                        <w:t>Wie internationale Unternehmen Europa als Investitionsstandort wahrnehmen</w:t>
                      </w:r>
                    </w:p>
                  </w:txbxContent>
                </v:textbox>
                <w10:wrap anchorx="margin"/>
              </v:rect>
            </w:pict>
          </mc:Fallback>
        </mc:AlternateContent>
      </w:r>
      <w:r w:rsidR="009F20F8" w:rsidRPr="00480461">
        <w:rPr>
          <w:rFonts w:ascii="DeutscheBank" w:hAnsi="DeutscheBank"/>
          <w:noProof/>
          <w:sz w:val="28"/>
          <w:szCs w:val="24"/>
        </w:rPr>
        <mc:AlternateContent>
          <mc:Choice Requires="wps">
            <w:drawing>
              <wp:anchor distT="0" distB="0" distL="114300" distR="114300" simplePos="0" relativeHeight="251658242" behindDoc="0" locked="0" layoutInCell="1" allowOverlap="1" wp14:anchorId="10E50ECC" wp14:editId="5D2969B4">
                <wp:simplePos x="0" y="0"/>
                <wp:positionH relativeFrom="column">
                  <wp:posOffset>5118354</wp:posOffset>
                </wp:positionH>
                <wp:positionV relativeFrom="paragraph">
                  <wp:posOffset>2006905</wp:posOffset>
                </wp:positionV>
                <wp:extent cx="647700" cy="647700"/>
                <wp:effectExtent l="0" t="0" r="0" b="0"/>
                <wp:wrapNone/>
                <wp:docPr id="180739849" name="Freeform 4" descr="White Deutsche Bank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black">
                        <a:xfrm>
                          <a:off x="0" y="0"/>
                          <a:ext cx="647700" cy="647700"/>
                        </a:xfrm>
                        <a:custGeom>
                          <a:avLst/>
                          <a:gdLst/>
                          <a:ahLst/>
                          <a:cxnLst>
                            <a:cxn ang="0">
                              <a:pos x="2286" y="2285"/>
                            </a:cxn>
                            <a:cxn ang="0">
                              <a:pos x="2286" y="14035"/>
                            </a:cxn>
                            <a:cxn ang="0">
                              <a:pos x="14035" y="14035"/>
                            </a:cxn>
                            <a:cxn ang="0">
                              <a:pos x="14035" y="2285"/>
                            </a:cxn>
                            <a:cxn ang="0">
                              <a:pos x="2286" y="2285"/>
                            </a:cxn>
                            <a:cxn ang="0">
                              <a:pos x="3590" y="12404"/>
                            </a:cxn>
                            <a:cxn ang="0">
                              <a:pos x="6527" y="12404"/>
                            </a:cxn>
                            <a:cxn ang="0">
                              <a:pos x="12730" y="3917"/>
                            </a:cxn>
                            <a:cxn ang="0">
                              <a:pos x="9792" y="3917"/>
                            </a:cxn>
                            <a:cxn ang="0">
                              <a:pos x="3590" y="12404"/>
                            </a:cxn>
                            <a:cxn ang="0">
                              <a:pos x="0" y="0"/>
                            </a:cxn>
                            <a:cxn ang="0">
                              <a:pos x="16320" y="0"/>
                            </a:cxn>
                            <a:cxn ang="0">
                              <a:pos x="16320" y="16320"/>
                            </a:cxn>
                            <a:cxn ang="0">
                              <a:pos x="0" y="16320"/>
                            </a:cxn>
                            <a:cxn ang="0">
                              <a:pos x="0" y="0"/>
                            </a:cxn>
                          </a:cxnLst>
                          <a:rect l="0" t="0" r="r" b="b"/>
                          <a:pathLst>
                            <a:path w="16320" h="16320">
                              <a:moveTo>
                                <a:pt x="2286" y="2285"/>
                              </a:moveTo>
                              <a:lnTo>
                                <a:pt x="2286" y="14035"/>
                              </a:lnTo>
                              <a:lnTo>
                                <a:pt x="14035" y="14035"/>
                              </a:lnTo>
                              <a:lnTo>
                                <a:pt x="14035" y="2285"/>
                              </a:lnTo>
                              <a:lnTo>
                                <a:pt x="2286" y="2285"/>
                              </a:lnTo>
                              <a:close/>
                              <a:moveTo>
                                <a:pt x="3590" y="12404"/>
                              </a:moveTo>
                              <a:lnTo>
                                <a:pt x="6527" y="12404"/>
                              </a:lnTo>
                              <a:lnTo>
                                <a:pt x="12730" y="3917"/>
                              </a:lnTo>
                              <a:lnTo>
                                <a:pt x="9792" y="3917"/>
                              </a:lnTo>
                              <a:lnTo>
                                <a:pt x="3590" y="12404"/>
                              </a:lnTo>
                              <a:close/>
                              <a:moveTo>
                                <a:pt x="0" y="0"/>
                              </a:moveTo>
                              <a:lnTo>
                                <a:pt x="16320" y="0"/>
                              </a:lnTo>
                              <a:lnTo>
                                <a:pt x="16320" y="16320"/>
                              </a:lnTo>
                              <a:lnTo>
                                <a:pt x="0" y="16320"/>
                              </a:lnTo>
                              <a:lnTo>
                                <a:pt x="0" y="0"/>
                              </a:lnTo>
                              <a:close/>
                            </a:path>
                          </a:pathLst>
                        </a:custGeom>
                        <a:solidFill>
                          <a:schemeClr val="bg1"/>
                        </a:solidFill>
                        <a:ln w="9525">
                          <a:noFill/>
                          <a:round/>
                          <a:headEnd/>
                          <a:tailEnd/>
                        </a:ln>
                      </wps:spPr>
                      <wps:bodyPr/>
                    </wps:wsp>
                  </a:graphicData>
                </a:graphic>
              </wp:anchor>
            </w:drawing>
          </mc:Choice>
          <mc:Fallback>
            <w:pict>
              <v:shape w14:anchorId="328C939E" id="Freeform 4" o:spid="_x0000_s1026" alt="White Deutsche Bank Logo" style="position:absolute;margin-left:403pt;margin-top:158pt;width:51pt;height:51pt;z-index:251658242;visibility:visible;mso-wrap-style:square;mso-wrap-distance-left:9pt;mso-wrap-distance-top:0;mso-wrap-distance-right:9pt;mso-wrap-distance-bottom:0;mso-position-horizontal:absolute;mso-position-horizontal-relative:text;mso-position-vertical:absolute;mso-position-vertical-relative:text;v-text-anchor:top" coordsize="16320,16320" o:bwmode="black"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" path="m2286,2285r,11750l14035,14035r,-11750l2286,2285xm3590,12404r2937,l12730,3917r-2938,l3590,12404xm,l16320,r,16320l,16320,,xe" fillcolor="white [3212]" stroked="f">
                <v:path arrowok="t" o:connecttype="custom" o:connectlocs="2286,2285;2286,14035;14035,14035;14035,2285;2286,2285;3590,12404;6527,12404;12730,3917;9792,3917;3590,12404;0,0;16320,0;16320,16320;0,16320;0,0" o:connectangles="0,0,0,0,0,0,0,0,0,0,0,0,0,0,0"/>
                <o:lock v:ext="edit" aspectratio="t" verticies="t"/>
              </v:shape>
            </w:pict>
          </mc:Fallback>
        </mc:AlternateContent>
      </w:r>
      <w:r w:rsidR="009F20F8">
        <w:rPr>
          <w:rFonts w:ascii="DeutscheBank" w:hAnsi="DeutscheBank"/>
          <w:sz w:val="28"/>
          <w:szCs w:val="28"/>
          <w:lang w:val="en-GB"/>
        </w:rPr>
        <w:br w:type="page"/>
      </w:r>
    </w:p>
    <w:bookmarkStart w:id="0" w:name="_Toc239930519" w:displacedByCustomXml="next"/>
    <w:bookmarkStart w:id="1" w:name="_Toc239842181" w:displacedByCustomXml="next"/>
    <w:sdt>
      <w:sdtPr>
        <w:id w:val="1958059098"/>
        <w:docPartObj>
          <w:docPartGallery w:val="Table of Contents"/>
          <w:docPartUnique/>
        </w:docPartObj>
      </w:sdtPr>
      <w:sdtEndPr>
        <w:rPr>
          <w:b/>
          <w:bCs/>
        </w:rPr>
      </w:sdtEndPr>
      <w:sdtContent>
        <w:p w14:paraId="59F029A2" w14:textId="77777777" w:rsidR="00836C2B" w:rsidRDefault="00836C2B" w:rsidP="00E72D6C">
          <w:pPr>
            <w:spacing w:after="160" w:line="24" w:lineRule="auto"/>
          </w:pPr>
        </w:p>
        <w:p w14:paraId="7D028B6D" w14:textId="77777777" w:rsidR="00836C2B" w:rsidRDefault="00836C2B" w:rsidP="00E72D6C">
          <w:pPr>
            <w:spacing w:after="160" w:line="24" w:lineRule="auto"/>
          </w:pPr>
        </w:p>
        <w:p w14:paraId="0C3D8C27" w14:textId="77777777" w:rsidR="00836C2B" w:rsidRDefault="00836C2B" w:rsidP="0068441D">
          <w:pPr>
            <w:spacing w:after="160" w:line="240" w:lineRule="atLeast"/>
          </w:pPr>
        </w:p>
        <w:p w14:paraId="6BC52635" w14:textId="65ABD5FF" w:rsidR="00836C2B" w:rsidRPr="00D627A3" w:rsidRDefault="00385BC0" w:rsidP="0068441D">
          <w:pPr>
            <w:spacing w:after="160" w:line="240" w:lineRule="atLeast"/>
            <w:rPr>
              <w:rFonts w:asciiTheme="majorHAnsi" w:eastAsiaTheme="majorEastAsia" w:hAnsiTheme="majorHAnsi" w:cstheme="majorBidi"/>
              <w:b/>
              <w:bCs/>
              <w:color w:val="161F59" w:themeColor="accent1" w:themeShade="BF"/>
              <w:sz w:val="32"/>
              <w:szCs w:val="32"/>
            </w:rPr>
          </w:pPr>
          <w:r w:rsidRPr="00D627A3">
            <w:rPr>
              <w:rFonts w:asciiTheme="majorHAnsi" w:eastAsiaTheme="majorEastAsia" w:hAnsiTheme="majorHAnsi" w:cstheme="majorBidi"/>
              <w:b/>
              <w:bCs/>
              <w:color w:val="161F59" w:themeColor="accent1" w:themeShade="BF"/>
              <w:sz w:val="32"/>
              <w:szCs w:val="32"/>
            </w:rPr>
            <w:t xml:space="preserve">Inhalt </w:t>
          </w:r>
        </w:p>
        <w:p w14:paraId="6E0AB9DF" w14:textId="108960A7" w:rsidR="004152D3" w:rsidRDefault="006D28CE">
          <w:pPr>
            <w:pStyle w:val="TOC1"/>
            <w:rPr>
              <w:rFonts w:asciiTheme="minorHAnsi" w:eastAsiaTheme="minorEastAsia" w:hAnsiTheme="minorHAnsi" w:cstheme="minorBidi"/>
              <w:b w:val="0"/>
              <w:bCs w:val="0"/>
              <w:color w:val="auto"/>
              <w:kern w:val="2"/>
              <w:sz w:val="24"/>
              <w:szCs w:val="24"/>
              <w:lang w:val="de-DE"/>
              <w14:ligatures w14:val="standardContextual"/>
            </w:rPr>
          </w:pPr>
          <w:r w:rsidRPr="006D28CE">
            <w:fldChar w:fldCharType="begin"/>
          </w:r>
          <w:r w:rsidRPr="006D28CE">
            <w:instrText xml:space="preserve"> TOC \o "1-1" \h \z \u </w:instrText>
          </w:r>
          <w:r w:rsidRPr="006D28CE">
            <w:fldChar w:fldCharType="separate"/>
          </w:r>
          <w:hyperlink w:anchor="_Toc240632244" w:history="1">
            <w:r w:rsidR="004152D3" w:rsidRPr="005275A2">
              <w:rPr>
                <w:rStyle w:val="Hyperlink"/>
              </w:rPr>
              <w:t>Die wichtigsten Ergebnisse auf einen Blick</w:t>
            </w:r>
            <w:r w:rsidR="004152D3">
              <w:rPr>
                <w:webHidden/>
              </w:rPr>
              <w:tab/>
            </w:r>
            <w:r w:rsidR="004152D3">
              <w:rPr>
                <w:webHidden/>
              </w:rPr>
              <w:fldChar w:fldCharType="begin"/>
            </w:r>
            <w:r w:rsidR="004152D3">
              <w:rPr>
                <w:webHidden/>
              </w:rPr>
              <w:instrText xml:space="preserve"> PAGEREF _Toc240632244 \h </w:instrText>
            </w:r>
            <w:r w:rsidR="004152D3">
              <w:rPr>
                <w:webHidden/>
              </w:rPr>
            </w:r>
            <w:r w:rsidR="004152D3">
              <w:rPr>
                <w:webHidden/>
              </w:rPr>
              <w:fldChar w:fldCharType="separate"/>
            </w:r>
            <w:r w:rsidR="00616721">
              <w:rPr>
                <w:webHidden/>
              </w:rPr>
              <w:t>3</w:t>
            </w:r>
            <w:r w:rsidR="004152D3">
              <w:rPr>
                <w:webHidden/>
              </w:rPr>
              <w:fldChar w:fldCharType="end"/>
            </w:r>
          </w:hyperlink>
        </w:p>
        <w:p w14:paraId="2C8994E7" w14:textId="2F60433B"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45" w:history="1">
            <w:r w:rsidRPr="005275A2">
              <w:rPr>
                <w:rStyle w:val="Hyperlink"/>
              </w:rPr>
              <w:t>Methodik</w:t>
            </w:r>
            <w:r>
              <w:rPr>
                <w:webHidden/>
              </w:rPr>
              <w:tab/>
            </w:r>
            <w:r>
              <w:rPr>
                <w:webHidden/>
              </w:rPr>
              <w:fldChar w:fldCharType="begin"/>
            </w:r>
            <w:r>
              <w:rPr>
                <w:webHidden/>
              </w:rPr>
              <w:instrText xml:space="preserve"> PAGEREF _Toc240632245 \h </w:instrText>
            </w:r>
            <w:r>
              <w:rPr>
                <w:webHidden/>
              </w:rPr>
            </w:r>
            <w:r>
              <w:rPr>
                <w:webHidden/>
              </w:rPr>
              <w:fldChar w:fldCharType="separate"/>
            </w:r>
            <w:r w:rsidR="00616721">
              <w:rPr>
                <w:webHidden/>
              </w:rPr>
              <w:t>4</w:t>
            </w:r>
            <w:r>
              <w:rPr>
                <w:webHidden/>
              </w:rPr>
              <w:fldChar w:fldCharType="end"/>
            </w:r>
          </w:hyperlink>
        </w:p>
        <w:p w14:paraId="3522232E" w14:textId="6A1F448D"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46" w:history="1">
            <w:r w:rsidRPr="005275A2">
              <w:rPr>
                <w:rStyle w:val="Hyperlink"/>
              </w:rPr>
              <w:t>1</w:t>
            </w:r>
            <w:r>
              <w:rPr>
                <w:rFonts w:asciiTheme="minorHAnsi" w:eastAsiaTheme="minorEastAsia" w:hAnsiTheme="minorHAnsi" w:cstheme="minorBidi"/>
                <w:b w:val="0"/>
                <w:bCs w:val="0"/>
                <w:color w:val="auto"/>
                <w:kern w:val="2"/>
                <w:sz w:val="24"/>
                <w:szCs w:val="24"/>
                <w:lang w:val="de-DE"/>
                <w14:ligatures w14:val="standardContextual"/>
              </w:rPr>
              <w:tab/>
            </w:r>
            <w:r w:rsidRPr="005275A2">
              <w:rPr>
                <w:rStyle w:val="Hyperlink"/>
              </w:rPr>
              <w:t>Europa überzeugt als Investitionsstandort</w:t>
            </w:r>
            <w:r>
              <w:rPr>
                <w:webHidden/>
              </w:rPr>
              <w:tab/>
            </w:r>
            <w:r>
              <w:rPr>
                <w:webHidden/>
              </w:rPr>
              <w:fldChar w:fldCharType="begin"/>
            </w:r>
            <w:r>
              <w:rPr>
                <w:webHidden/>
              </w:rPr>
              <w:instrText xml:space="preserve"> PAGEREF _Toc240632246 \h </w:instrText>
            </w:r>
            <w:r>
              <w:rPr>
                <w:webHidden/>
              </w:rPr>
            </w:r>
            <w:r>
              <w:rPr>
                <w:webHidden/>
              </w:rPr>
              <w:fldChar w:fldCharType="separate"/>
            </w:r>
            <w:r w:rsidR="00616721">
              <w:rPr>
                <w:webHidden/>
              </w:rPr>
              <w:t>5</w:t>
            </w:r>
            <w:r>
              <w:rPr>
                <w:webHidden/>
              </w:rPr>
              <w:fldChar w:fldCharType="end"/>
            </w:r>
          </w:hyperlink>
        </w:p>
        <w:p w14:paraId="79AC7D90" w14:textId="26557FE2"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47" w:history="1">
            <w:r w:rsidRPr="005275A2">
              <w:rPr>
                <w:rStyle w:val="Hyperlink"/>
                <w:lang w:val="en-US"/>
              </w:rPr>
              <w:t>2</w:t>
            </w:r>
            <w:r>
              <w:rPr>
                <w:rFonts w:asciiTheme="minorHAnsi" w:eastAsiaTheme="minorEastAsia" w:hAnsiTheme="minorHAnsi" w:cstheme="minorBidi"/>
                <w:b w:val="0"/>
                <w:bCs w:val="0"/>
                <w:color w:val="auto"/>
                <w:kern w:val="2"/>
                <w:sz w:val="24"/>
                <w:szCs w:val="24"/>
                <w:lang w:val="de-DE"/>
                <w14:ligatures w14:val="standardContextual"/>
              </w:rPr>
              <w:tab/>
            </w:r>
            <w:r w:rsidRPr="005275A2">
              <w:rPr>
                <w:rStyle w:val="Hyperlink"/>
              </w:rPr>
              <w:t>Aus Vertrauen werden Investitionspläne</w:t>
            </w:r>
            <w:r>
              <w:rPr>
                <w:webHidden/>
              </w:rPr>
              <w:tab/>
            </w:r>
            <w:r>
              <w:rPr>
                <w:webHidden/>
              </w:rPr>
              <w:fldChar w:fldCharType="begin"/>
            </w:r>
            <w:r>
              <w:rPr>
                <w:webHidden/>
              </w:rPr>
              <w:instrText xml:space="preserve"> PAGEREF _Toc240632247 \h </w:instrText>
            </w:r>
            <w:r>
              <w:rPr>
                <w:webHidden/>
              </w:rPr>
            </w:r>
            <w:r>
              <w:rPr>
                <w:webHidden/>
              </w:rPr>
              <w:fldChar w:fldCharType="separate"/>
            </w:r>
            <w:r w:rsidR="00616721">
              <w:rPr>
                <w:webHidden/>
              </w:rPr>
              <w:t>9</w:t>
            </w:r>
            <w:r>
              <w:rPr>
                <w:webHidden/>
              </w:rPr>
              <w:fldChar w:fldCharType="end"/>
            </w:r>
          </w:hyperlink>
        </w:p>
        <w:p w14:paraId="695A060E" w14:textId="5E7FD78A"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48" w:history="1">
            <w:r w:rsidRPr="005275A2">
              <w:rPr>
                <w:rStyle w:val="Hyperlink"/>
                <w:lang w:val="en-US"/>
              </w:rPr>
              <w:t>3</w:t>
            </w:r>
            <w:r>
              <w:rPr>
                <w:rFonts w:asciiTheme="minorHAnsi" w:eastAsiaTheme="minorEastAsia" w:hAnsiTheme="minorHAnsi" w:cstheme="minorBidi"/>
                <w:b w:val="0"/>
                <w:bCs w:val="0"/>
                <w:color w:val="auto"/>
                <w:kern w:val="2"/>
                <w:sz w:val="24"/>
                <w:szCs w:val="24"/>
                <w:lang w:val="de-DE"/>
                <w14:ligatures w14:val="standardContextual"/>
              </w:rPr>
              <w:tab/>
            </w:r>
            <w:r w:rsidRPr="005275A2">
              <w:rPr>
                <w:rStyle w:val="Hyperlink"/>
              </w:rPr>
              <w:t>Europas Stärken nutzen und gezielt handeln</w:t>
            </w:r>
            <w:r>
              <w:rPr>
                <w:webHidden/>
              </w:rPr>
              <w:tab/>
            </w:r>
            <w:r>
              <w:rPr>
                <w:webHidden/>
              </w:rPr>
              <w:fldChar w:fldCharType="begin"/>
            </w:r>
            <w:r>
              <w:rPr>
                <w:webHidden/>
              </w:rPr>
              <w:instrText xml:space="preserve"> PAGEREF _Toc240632248 \h </w:instrText>
            </w:r>
            <w:r>
              <w:rPr>
                <w:webHidden/>
              </w:rPr>
            </w:r>
            <w:r>
              <w:rPr>
                <w:webHidden/>
              </w:rPr>
              <w:fldChar w:fldCharType="separate"/>
            </w:r>
            <w:r w:rsidR="00616721">
              <w:rPr>
                <w:webHidden/>
              </w:rPr>
              <w:t>13</w:t>
            </w:r>
            <w:r>
              <w:rPr>
                <w:webHidden/>
              </w:rPr>
              <w:fldChar w:fldCharType="end"/>
            </w:r>
          </w:hyperlink>
        </w:p>
        <w:p w14:paraId="3DA733F5" w14:textId="6E203525"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49" w:history="1">
            <w:r w:rsidRPr="005275A2">
              <w:rPr>
                <w:rStyle w:val="Hyperlink"/>
                <w:lang w:val="en-US"/>
              </w:rPr>
              <w:t>4</w:t>
            </w:r>
            <w:r>
              <w:rPr>
                <w:rFonts w:asciiTheme="minorHAnsi" w:eastAsiaTheme="minorEastAsia" w:hAnsiTheme="minorHAnsi" w:cstheme="minorBidi"/>
                <w:b w:val="0"/>
                <w:bCs w:val="0"/>
                <w:color w:val="auto"/>
                <w:kern w:val="2"/>
                <w:sz w:val="24"/>
                <w:szCs w:val="24"/>
                <w:lang w:val="de-DE"/>
                <w14:ligatures w14:val="standardContextual"/>
              </w:rPr>
              <w:tab/>
            </w:r>
            <w:r w:rsidRPr="005275A2">
              <w:rPr>
                <w:rStyle w:val="Hyperlink"/>
              </w:rPr>
              <w:t>Deutschland an der Spitze</w:t>
            </w:r>
            <w:r>
              <w:rPr>
                <w:webHidden/>
              </w:rPr>
              <w:tab/>
            </w:r>
            <w:r>
              <w:rPr>
                <w:webHidden/>
              </w:rPr>
              <w:fldChar w:fldCharType="begin"/>
            </w:r>
            <w:r>
              <w:rPr>
                <w:webHidden/>
              </w:rPr>
              <w:instrText xml:space="preserve"> PAGEREF _Toc240632249 \h </w:instrText>
            </w:r>
            <w:r>
              <w:rPr>
                <w:webHidden/>
              </w:rPr>
            </w:r>
            <w:r>
              <w:rPr>
                <w:webHidden/>
              </w:rPr>
              <w:fldChar w:fldCharType="separate"/>
            </w:r>
            <w:r w:rsidR="00616721">
              <w:rPr>
                <w:webHidden/>
              </w:rPr>
              <w:t>16</w:t>
            </w:r>
            <w:r>
              <w:rPr>
                <w:webHidden/>
              </w:rPr>
              <w:fldChar w:fldCharType="end"/>
            </w:r>
          </w:hyperlink>
        </w:p>
        <w:p w14:paraId="528114EB" w14:textId="7642DD7C"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50" w:history="1">
            <w:r w:rsidRPr="005275A2">
              <w:rPr>
                <w:rStyle w:val="Hyperlink"/>
                <w:lang w:val="en-US"/>
              </w:rPr>
              <w:t>5</w:t>
            </w:r>
            <w:r>
              <w:rPr>
                <w:rFonts w:asciiTheme="minorHAnsi" w:eastAsiaTheme="minorEastAsia" w:hAnsiTheme="minorHAnsi" w:cstheme="minorBidi"/>
                <w:b w:val="0"/>
                <w:bCs w:val="0"/>
                <w:color w:val="auto"/>
                <w:kern w:val="2"/>
                <w:sz w:val="24"/>
                <w:szCs w:val="24"/>
                <w:lang w:val="de-DE"/>
                <w14:ligatures w14:val="standardContextual"/>
              </w:rPr>
              <w:tab/>
            </w:r>
            <w:r w:rsidRPr="005275A2">
              <w:rPr>
                <w:rStyle w:val="Hyperlink"/>
              </w:rPr>
              <w:t>Zentrale Handlungsfelder für Europa</w:t>
            </w:r>
            <w:r>
              <w:rPr>
                <w:webHidden/>
              </w:rPr>
              <w:tab/>
            </w:r>
            <w:r>
              <w:rPr>
                <w:webHidden/>
              </w:rPr>
              <w:fldChar w:fldCharType="begin"/>
            </w:r>
            <w:r>
              <w:rPr>
                <w:webHidden/>
              </w:rPr>
              <w:instrText xml:space="preserve"> PAGEREF _Toc240632250 \h </w:instrText>
            </w:r>
            <w:r>
              <w:rPr>
                <w:webHidden/>
              </w:rPr>
            </w:r>
            <w:r>
              <w:rPr>
                <w:webHidden/>
              </w:rPr>
              <w:fldChar w:fldCharType="separate"/>
            </w:r>
            <w:r w:rsidR="00616721">
              <w:rPr>
                <w:webHidden/>
              </w:rPr>
              <w:t>18</w:t>
            </w:r>
            <w:r>
              <w:rPr>
                <w:webHidden/>
              </w:rPr>
              <w:fldChar w:fldCharType="end"/>
            </w:r>
          </w:hyperlink>
        </w:p>
        <w:p w14:paraId="3D0C702F" w14:textId="3F843883"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51" w:history="1">
            <w:r w:rsidRPr="005275A2">
              <w:rPr>
                <w:rStyle w:val="Hyperlink"/>
                <w:lang w:val="en-US"/>
              </w:rPr>
              <w:t>6</w:t>
            </w:r>
            <w:r>
              <w:rPr>
                <w:rFonts w:asciiTheme="minorHAnsi" w:eastAsiaTheme="minorEastAsia" w:hAnsiTheme="minorHAnsi" w:cstheme="minorBidi"/>
                <w:b w:val="0"/>
                <w:bCs w:val="0"/>
                <w:color w:val="auto"/>
                <w:kern w:val="2"/>
                <w:sz w:val="24"/>
                <w:szCs w:val="24"/>
                <w:lang w:val="de-DE"/>
                <w14:ligatures w14:val="standardContextual"/>
              </w:rPr>
              <w:tab/>
            </w:r>
            <w:r w:rsidRPr="005275A2">
              <w:rPr>
                <w:rStyle w:val="Hyperlink"/>
              </w:rPr>
              <w:t>Europa hat die Vorteile des Binnenmarkts noch nicht vollständig ausgeschöpft</w:t>
            </w:r>
            <w:r>
              <w:rPr>
                <w:webHidden/>
              </w:rPr>
              <w:tab/>
            </w:r>
            <w:r>
              <w:rPr>
                <w:webHidden/>
              </w:rPr>
              <w:fldChar w:fldCharType="begin"/>
            </w:r>
            <w:r>
              <w:rPr>
                <w:webHidden/>
              </w:rPr>
              <w:instrText xml:space="preserve"> PAGEREF _Toc240632251 \h </w:instrText>
            </w:r>
            <w:r>
              <w:rPr>
                <w:webHidden/>
              </w:rPr>
            </w:r>
            <w:r>
              <w:rPr>
                <w:webHidden/>
              </w:rPr>
              <w:fldChar w:fldCharType="separate"/>
            </w:r>
            <w:r w:rsidR="00616721">
              <w:rPr>
                <w:webHidden/>
              </w:rPr>
              <w:t>19</w:t>
            </w:r>
            <w:r>
              <w:rPr>
                <w:webHidden/>
              </w:rPr>
              <w:fldChar w:fldCharType="end"/>
            </w:r>
          </w:hyperlink>
        </w:p>
        <w:p w14:paraId="21389BBC" w14:textId="0D7367B4"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52" w:history="1">
            <w:r w:rsidRPr="005275A2">
              <w:rPr>
                <w:rStyle w:val="Hyperlink"/>
                <w:lang w:val="en-US"/>
              </w:rPr>
              <w:t>7</w:t>
            </w:r>
            <w:r>
              <w:rPr>
                <w:rFonts w:asciiTheme="minorHAnsi" w:eastAsiaTheme="minorEastAsia" w:hAnsiTheme="minorHAnsi" w:cstheme="minorBidi"/>
                <w:b w:val="0"/>
                <w:bCs w:val="0"/>
                <w:color w:val="auto"/>
                <w:kern w:val="2"/>
                <w:sz w:val="24"/>
                <w:szCs w:val="24"/>
                <w:lang w:val="de-DE"/>
                <w14:ligatures w14:val="standardContextual"/>
              </w:rPr>
              <w:tab/>
            </w:r>
            <w:r w:rsidRPr="005275A2">
              <w:rPr>
                <w:rStyle w:val="Hyperlink"/>
              </w:rPr>
              <w:t>Europa kann seine Wettbewerbsfähigkeit im Bereich KI weiter stärken</w:t>
            </w:r>
            <w:r>
              <w:rPr>
                <w:webHidden/>
              </w:rPr>
              <w:tab/>
            </w:r>
            <w:r>
              <w:rPr>
                <w:webHidden/>
              </w:rPr>
              <w:fldChar w:fldCharType="begin"/>
            </w:r>
            <w:r>
              <w:rPr>
                <w:webHidden/>
              </w:rPr>
              <w:instrText xml:space="preserve"> PAGEREF _Toc240632252 \h </w:instrText>
            </w:r>
            <w:r>
              <w:rPr>
                <w:webHidden/>
              </w:rPr>
            </w:r>
            <w:r>
              <w:rPr>
                <w:webHidden/>
              </w:rPr>
              <w:fldChar w:fldCharType="separate"/>
            </w:r>
            <w:r w:rsidR="00616721">
              <w:rPr>
                <w:webHidden/>
              </w:rPr>
              <w:t>22</w:t>
            </w:r>
            <w:r>
              <w:rPr>
                <w:webHidden/>
              </w:rPr>
              <w:fldChar w:fldCharType="end"/>
            </w:r>
          </w:hyperlink>
        </w:p>
        <w:p w14:paraId="13BB3AEA" w14:textId="7930A106"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53" w:history="1">
            <w:r w:rsidRPr="005275A2">
              <w:rPr>
                <w:rStyle w:val="Hyperlink"/>
                <w:lang w:val="en-US"/>
              </w:rPr>
              <w:t>8</w:t>
            </w:r>
            <w:r>
              <w:rPr>
                <w:rFonts w:asciiTheme="minorHAnsi" w:eastAsiaTheme="minorEastAsia" w:hAnsiTheme="minorHAnsi" w:cstheme="minorBidi"/>
                <w:b w:val="0"/>
                <w:bCs w:val="0"/>
                <w:color w:val="auto"/>
                <w:kern w:val="2"/>
                <w:sz w:val="24"/>
                <w:szCs w:val="24"/>
                <w:lang w:val="de-DE"/>
                <w14:ligatures w14:val="standardContextual"/>
              </w:rPr>
              <w:tab/>
            </w:r>
            <w:r w:rsidRPr="005275A2">
              <w:rPr>
                <w:rStyle w:val="Hyperlink"/>
              </w:rPr>
              <w:t>Europäische Banken können eine Schlüsselrolle bei Investitionen übernehmen</w:t>
            </w:r>
            <w:r>
              <w:rPr>
                <w:webHidden/>
              </w:rPr>
              <w:tab/>
            </w:r>
            <w:r>
              <w:rPr>
                <w:webHidden/>
              </w:rPr>
              <w:fldChar w:fldCharType="begin"/>
            </w:r>
            <w:r>
              <w:rPr>
                <w:webHidden/>
              </w:rPr>
              <w:instrText xml:space="preserve"> PAGEREF _Toc240632253 \h </w:instrText>
            </w:r>
            <w:r>
              <w:rPr>
                <w:webHidden/>
              </w:rPr>
            </w:r>
            <w:r>
              <w:rPr>
                <w:webHidden/>
              </w:rPr>
              <w:fldChar w:fldCharType="separate"/>
            </w:r>
            <w:r w:rsidR="00616721">
              <w:rPr>
                <w:webHidden/>
              </w:rPr>
              <w:t>24</w:t>
            </w:r>
            <w:r>
              <w:rPr>
                <w:webHidden/>
              </w:rPr>
              <w:fldChar w:fldCharType="end"/>
            </w:r>
          </w:hyperlink>
        </w:p>
        <w:p w14:paraId="10CFDEA7" w14:textId="29329C90" w:rsidR="004152D3" w:rsidRDefault="004152D3">
          <w:pPr>
            <w:pStyle w:val="TOC1"/>
            <w:rPr>
              <w:rFonts w:asciiTheme="minorHAnsi" w:eastAsiaTheme="minorEastAsia" w:hAnsiTheme="minorHAnsi" w:cstheme="minorBidi"/>
              <w:b w:val="0"/>
              <w:bCs w:val="0"/>
              <w:color w:val="auto"/>
              <w:kern w:val="2"/>
              <w:sz w:val="24"/>
              <w:szCs w:val="24"/>
              <w:lang w:val="de-DE"/>
              <w14:ligatures w14:val="standardContextual"/>
            </w:rPr>
          </w:pPr>
          <w:hyperlink w:anchor="_Toc240632254" w:history="1">
            <w:r w:rsidRPr="005275A2">
              <w:rPr>
                <w:rStyle w:val="Hyperlink"/>
              </w:rPr>
              <w:t>Fazit: Bedeutung der Ergebnisse für Europa</w:t>
            </w:r>
            <w:r>
              <w:rPr>
                <w:webHidden/>
              </w:rPr>
              <w:tab/>
            </w:r>
            <w:r>
              <w:rPr>
                <w:webHidden/>
              </w:rPr>
              <w:fldChar w:fldCharType="begin"/>
            </w:r>
            <w:r>
              <w:rPr>
                <w:webHidden/>
              </w:rPr>
              <w:instrText xml:space="preserve"> PAGEREF _Toc240632254 \h </w:instrText>
            </w:r>
            <w:r>
              <w:rPr>
                <w:webHidden/>
              </w:rPr>
            </w:r>
            <w:r>
              <w:rPr>
                <w:webHidden/>
              </w:rPr>
              <w:fldChar w:fldCharType="separate"/>
            </w:r>
            <w:r w:rsidR="00616721">
              <w:rPr>
                <w:webHidden/>
              </w:rPr>
              <w:t>26</w:t>
            </w:r>
            <w:r>
              <w:rPr>
                <w:webHidden/>
              </w:rPr>
              <w:fldChar w:fldCharType="end"/>
            </w:r>
          </w:hyperlink>
        </w:p>
        <w:p w14:paraId="6E44C068" w14:textId="119D76A0" w:rsidR="00880AA3" w:rsidRDefault="006D28CE">
          <w:pPr>
            <w:spacing w:after="160" w:line="24" w:lineRule="auto"/>
          </w:pPr>
          <w:r w:rsidRPr="006D28CE">
            <w:rPr>
              <w:color w:val="1E2A78" w:themeColor="accent1"/>
            </w:rPr>
            <w:fldChar w:fldCharType="end"/>
          </w:r>
        </w:p>
      </w:sdtContent>
    </w:sdt>
    <w:p w14:paraId="0770EFC4" w14:textId="4E10BD26" w:rsidR="7F7C9998" w:rsidRDefault="7F7C9998" w:rsidP="7F7C9998">
      <w:pPr>
        <w:spacing w:after="160" w:line="24" w:lineRule="auto"/>
        <w:rPr>
          <w:rFonts w:ascii="DeutscheBank" w:hAnsi="DeutscheBank"/>
          <w:sz w:val="28"/>
          <w:szCs w:val="28"/>
          <w:lang w:val="en-GB"/>
        </w:rPr>
      </w:pPr>
    </w:p>
    <w:p w14:paraId="56D636B0" w14:textId="449F2BBC" w:rsidR="7F7C9998" w:rsidRDefault="7F7C9998" w:rsidP="7F7C9998">
      <w:pPr>
        <w:spacing w:after="160" w:line="24" w:lineRule="auto"/>
        <w:rPr>
          <w:rFonts w:ascii="DeutscheBank" w:hAnsi="DeutscheBank"/>
          <w:sz w:val="28"/>
          <w:szCs w:val="28"/>
          <w:lang w:val="en-GB"/>
        </w:rPr>
      </w:pPr>
    </w:p>
    <w:p w14:paraId="080B0C90" w14:textId="77777777" w:rsidR="00880AA3" w:rsidRDefault="00880AA3" w:rsidP="00880AA3">
      <w:pPr>
        <w:pBdr>
          <w:left w:val="single" w:sz="20" w:space="5" w:color="34A6DC"/>
        </w:pBdr>
        <w:shd w:val="clear" w:color="auto" w:fill="EAF2FB"/>
        <w:spacing w:before="120" w:after="200" w:line="300" w:lineRule="auto"/>
        <w:ind w:left="200" w:right="160"/>
        <w:rPr>
          <w:rFonts w:ascii="DeutscheBank" w:hAnsi="DeutscheBank"/>
          <w:b/>
          <w:bCs/>
          <w:sz w:val="20"/>
          <w:szCs w:val="20"/>
        </w:rPr>
      </w:pPr>
      <w:r w:rsidRPr="1DC6F10A">
        <w:rPr>
          <w:rFonts w:ascii="DeutscheBank" w:hAnsi="DeutscheBank"/>
          <w:b/>
          <w:bCs/>
          <w:sz w:val="20"/>
          <w:szCs w:val="20"/>
        </w:rPr>
        <w:t xml:space="preserve">„Die globale Wirtschaft setzt auf Europa. Das ist die zentrale Botschaft der Befragung. Sie bestätigt unsere Erfahrungen aus dem Geschäft mit unseren Kunden in aller Welt. Entscheider sehen Europa als attraktiven Investitionsstandort, als Wachstumsmarkt und als Innovationsraum. Die Umfrage zeigt zugleich, dass wir bei der Wettbewerbsfähigkeit und den Standortbedingungen Aufholbedarf haben. Deswegen kommt es jetzt darauf an, mit entschlossenen Reformen mehr Wachstum und Investitionen zu ermöglichen.” Alexander von </w:t>
      </w:r>
      <w:proofErr w:type="gramStart"/>
      <w:r w:rsidRPr="1DC6F10A">
        <w:rPr>
          <w:rFonts w:ascii="DeutscheBank" w:hAnsi="DeutscheBank"/>
          <w:b/>
          <w:bCs/>
          <w:sz w:val="20"/>
          <w:szCs w:val="20"/>
        </w:rPr>
        <w:t>zur Mühlen</w:t>
      </w:r>
      <w:proofErr w:type="gramEnd"/>
      <w:r w:rsidRPr="1DC6F10A">
        <w:rPr>
          <w:rFonts w:ascii="DeutscheBank" w:hAnsi="DeutscheBank"/>
          <w:b/>
          <w:bCs/>
          <w:sz w:val="20"/>
          <w:szCs w:val="20"/>
        </w:rPr>
        <w:t>, Vorstandsmitglied der Deutschen Bank</w:t>
      </w:r>
    </w:p>
    <w:p w14:paraId="0FA86E04" w14:textId="77777777" w:rsidR="00880AA3" w:rsidRPr="003935BE" w:rsidRDefault="00880AA3">
      <w:pPr>
        <w:spacing w:after="160" w:line="24" w:lineRule="auto"/>
        <w:rPr>
          <w:rFonts w:ascii="DeutscheBank" w:hAnsi="DeutscheBank"/>
          <w:sz w:val="28"/>
          <w:szCs w:val="28"/>
        </w:rPr>
      </w:pPr>
    </w:p>
    <w:p w14:paraId="2FB56CEC" w14:textId="77777777" w:rsidR="00880AA3" w:rsidRPr="003935BE" w:rsidRDefault="00880AA3">
      <w:pPr>
        <w:spacing w:after="160" w:line="24" w:lineRule="auto"/>
        <w:rPr>
          <w:rFonts w:ascii="DeutscheBank" w:hAnsi="DeutscheBank"/>
          <w:sz w:val="28"/>
          <w:szCs w:val="28"/>
        </w:rPr>
      </w:pPr>
    </w:p>
    <w:p w14:paraId="1A108D57" w14:textId="77777777" w:rsidR="00880AA3" w:rsidRPr="003935BE" w:rsidRDefault="00880AA3">
      <w:pPr>
        <w:spacing w:after="160" w:line="24" w:lineRule="auto"/>
        <w:rPr>
          <w:rFonts w:ascii="DeutscheBank" w:hAnsi="DeutscheBank"/>
          <w:sz w:val="28"/>
          <w:szCs w:val="28"/>
        </w:rPr>
      </w:pPr>
    </w:p>
    <w:p w14:paraId="59712D31" w14:textId="5E205959" w:rsidR="00F16B64" w:rsidRPr="003935BE" w:rsidRDefault="00F16B64" w:rsidP="185ADF74">
      <w:pPr>
        <w:spacing w:after="160" w:line="24" w:lineRule="auto"/>
        <w:rPr>
          <w:rFonts w:ascii="DeutscheBank" w:eastAsiaTheme="majorEastAsia" w:hAnsi="DeutscheBank" w:cstheme="majorBidi"/>
          <w:b/>
          <w:bCs/>
          <w:noProof/>
          <w:color w:val="1E2A78" w:themeColor="accent1"/>
          <w:sz w:val="28"/>
          <w:szCs w:val="28"/>
        </w:rPr>
      </w:pPr>
      <w:r w:rsidRPr="003935BE">
        <w:rPr>
          <w:rFonts w:ascii="DeutscheBank" w:hAnsi="DeutscheBank"/>
          <w:sz w:val="28"/>
          <w:szCs w:val="28"/>
        </w:rPr>
        <w:br w:type="page"/>
      </w:r>
    </w:p>
    <w:p w14:paraId="2E463A36" w14:textId="77777777" w:rsidR="00930C21" w:rsidRPr="000E3D12" w:rsidRDefault="00930C21" w:rsidP="00723CF0">
      <w:pPr>
        <w:pStyle w:val="Heading1"/>
        <w:pageBreakBefore/>
        <w:numPr>
          <w:ilvl w:val="0"/>
          <w:numId w:val="0"/>
        </w:numPr>
        <w:rPr>
          <w:rFonts w:ascii="DeutscheBank" w:hAnsi="DeutscheBank"/>
          <w:b w:val="0"/>
          <w:bCs w:val="0"/>
          <w:sz w:val="28"/>
          <w:szCs w:val="28"/>
        </w:rPr>
      </w:pPr>
      <w:bookmarkStart w:id="2" w:name="_Toc240632244"/>
      <w:bookmarkEnd w:id="1"/>
      <w:bookmarkEnd w:id="0"/>
      <w:r w:rsidRPr="1DC6F10A">
        <w:rPr>
          <w:rFonts w:ascii="DeutscheBank" w:hAnsi="DeutscheBank"/>
          <w:sz w:val="28"/>
          <w:szCs w:val="28"/>
        </w:rPr>
        <w:lastRenderedPageBreak/>
        <w:t>Die wichtigsten Ergebnisse auf einen Blick</w:t>
      </w:r>
      <w:bookmarkEnd w:id="2"/>
    </w:p>
    <w:p w14:paraId="5733F7D7" w14:textId="2CDF1CBF" w:rsidR="00930C21" w:rsidRPr="00F75BDE" w:rsidRDefault="00930C21" w:rsidP="00930C21">
      <w:pPr>
        <w:spacing w:after="150" w:line="288" w:lineRule="auto"/>
        <w:rPr>
          <w:rFonts w:ascii="DeutscheBank" w:hAnsi="DeutscheBank"/>
          <w:sz w:val="20"/>
          <w:szCs w:val="20"/>
        </w:rPr>
      </w:pPr>
      <w:r w:rsidRPr="7AC7389B">
        <w:rPr>
          <w:rFonts w:ascii="DeutscheBank" w:hAnsi="DeutscheBank"/>
          <w:sz w:val="20"/>
          <w:szCs w:val="20"/>
        </w:rPr>
        <w:t>Aus Sicht internationaler Investoren ist Europa vor allem eines: ein Standort der Chancen. Die folgenden Erkenntnisse fassen die Ergebnisse der Befragung zusammen und bilden zugleich die Struktur dieses Berichts.</w:t>
      </w:r>
    </w:p>
    <w:p w14:paraId="7FB7E538" w14:textId="4C39A6E2" w:rsidR="00930C21" w:rsidRPr="00C4738D" w:rsidRDefault="4A0CE207" w:rsidP="00930C21">
      <w:pPr>
        <w:pStyle w:val="ListParagraph"/>
        <w:numPr>
          <w:ilvl w:val="0"/>
          <w:numId w:val="9"/>
        </w:numPr>
        <w:spacing w:after="130" w:line="284" w:lineRule="auto"/>
        <w:rPr>
          <w:rFonts w:ascii="DeutscheBank" w:eastAsia="DeutscheBank" w:hAnsi="DeutscheBank" w:cs="DeutscheBank"/>
          <w:sz w:val="20"/>
          <w:szCs w:val="20"/>
        </w:rPr>
      </w:pPr>
      <w:r w:rsidRPr="2894FC4D">
        <w:rPr>
          <w:rFonts w:ascii="DeutscheBank" w:eastAsia="DeutscheBank" w:hAnsi="DeutscheBank" w:cs="DeutscheBank"/>
          <w:b/>
          <w:bCs/>
          <w:color w:val="1E2A78" w:themeColor="accent1"/>
          <w:sz w:val="20"/>
          <w:szCs w:val="20"/>
        </w:rPr>
        <w:t xml:space="preserve">Führungskräfte sehen </w:t>
      </w:r>
      <w:r w:rsidR="27F262E4" w:rsidRPr="2894FC4D">
        <w:rPr>
          <w:rFonts w:ascii="DeutscheBank" w:eastAsia="DeutscheBank" w:hAnsi="DeutscheBank" w:cs="DeutscheBank"/>
          <w:b/>
          <w:bCs/>
          <w:color w:val="1E2A78" w:themeColor="accent1"/>
          <w:sz w:val="20"/>
          <w:szCs w:val="20"/>
        </w:rPr>
        <w:t xml:space="preserve">Europa vor Amerika und Asien-Pazifik. </w:t>
      </w:r>
      <w:r w:rsidR="27F262E4" w:rsidRPr="2894FC4D">
        <w:rPr>
          <w:rFonts w:ascii="DeutscheBank" w:eastAsia="DeutscheBank" w:hAnsi="DeutscheBank" w:cs="DeutscheBank"/>
          <w:sz w:val="20"/>
          <w:szCs w:val="20"/>
        </w:rPr>
        <w:t>Mehr als ein Drittel der Entscheidungsträger (35 Prozent) nennt Europa als die attraktivste Region für ihr Unternehmen, vor der Region Asien-Pazifik (ohne China) und Nordamerika</w:t>
      </w:r>
      <w:r w:rsidR="27F262E4" w:rsidRPr="00C4738D">
        <w:rPr>
          <w:rFonts w:ascii="DeutscheBank" w:eastAsia="DeutscheBank" w:hAnsi="DeutscheBank" w:cs="DeutscheBank"/>
          <w:sz w:val="20"/>
          <w:szCs w:val="20"/>
        </w:rPr>
        <w:t>.</w:t>
      </w:r>
    </w:p>
    <w:p w14:paraId="4CE187AF" w14:textId="2BDA2F19" w:rsidR="00930C21" w:rsidRPr="00105463" w:rsidRDefault="27F262E4">
      <w:pPr>
        <w:pStyle w:val="ListParagraph"/>
        <w:numPr>
          <w:ilvl w:val="0"/>
          <w:numId w:val="9"/>
        </w:numPr>
        <w:spacing w:after="130" w:line="284" w:lineRule="auto"/>
        <w:rPr>
          <w:rFonts w:ascii="DeutscheBank" w:eastAsia="DeutscheBank" w:hAnsi="DeutscheBank" w:cs="DeutscheBank"/>
          <w:sz w:val="20"/>
          <w:szCs w:val="20"/>
        </w:rPr>
      </w:pPr>
      <w:r w:rsidRPr="5822115C">
        <w:rPr>
          <w:rFonts w:ascii="DeutscheBank" w:eastAsia="DeutscheBank" w:hAnsi="DeutscheBank" w:cs="DeutscheBank"/>
          <w:b/>
          <w:bCs/>
          <w:color w:val="1E2A78" w:themeColor="accent1"/>
          <w:sz w:val="20"/>
          <w:szCs w:val="20"/>
        </w:rPr>
        <w:t>D</w:t>
      </w:r>
      <w:r w:rsidR="59A49A5B" w:rsidRPr="5822115C">
        <w:rPr>
          <w:rFonts w:ascii="DeutscheBank" w:eastAsia="DeutscheBank" w:hAnsi="DeutscheBank" w:cs="DeutscheBank"/>
          <w:b/>
          <w:bCs/>
          <w:color w:val="1E2A78" w:themeColor="accent1"/>
          <w:sz w:val="20"/>
          <w:szCs w:val="20"/>
        </w:rPr>
        <w:t>ie Welt setzt zunehmend auf Europa</w:t>
      </w:r>
      <w:r w:rsidRPr="5822115C">
        <w:rPr>
          <w:rFonts w:ascii="DeutscheBank" w:eastAsia="DeutscheBank" w:hAnsi="DeutscheBank" w:cs="DeutscheBank"/>
          <w:b/>
          <w:bCs/>
          <w:color w:val="1E2A78" w:themeColor="accent1"/>
          <w:sz w:val="20"/>
          <w:szCs w:val="20"/>
        </w:rPr>
        <w:t>.</w:t>
      </w:r>
      <w:r w:rsidRPr="5822115C">
        <w:rPr>
          <w:rFonts w:ascii="DeutscheBank" w:eastAsia="DeutscheBank" w:hAnsi="DeutscheBank" w:cs="DeutscheBank"/>
          <w:b/>
          <w:bCs/>
          <w:color w:val="000000" w:themeColor="text1"/>
          <w:sz w:val="20"/>
          <w:szCs w:val="20"/>
        </w:rPr>
        <w:t xml:space="preserve"> </w:t>
      </w:r>
      <w:r w:rsidRPr="2894FC4D">
        <w:rPr>
          <w:rFonts w:ascii="DeutscheBank" w:eastAsia="DeutscheBank" w:hAnsi="DeutscheBank" w:cs="DeutscheBank"/>
          <w:sz w:val="20"/>
          <w:szCs w:val="20"/>
        </w:rPr>
        <w:t>Für 81 Prozent der Befragten spielt Europa heute eine größere Rolle bei Investitionsentscheidungen als noch vor drei Jahren. Für 28 Prozent ist Europa deutlich wichtiger geworden, für 53 Prozent etwas wichtiger. Nur 3 Prozent der Befragten messen Europa heute eine geringere Bedeutung bei.</w:t>
      </w:r>
    </w:p>
    <w:p w14:paraId="031F259C" w14:textId="29223171" w:rsidR="00930C21" w:rsidRPr="00656B0A" w:rsidRDefault="27F262E4">
      <w:pPr>
        <w:pStyle w:val="ListParagraph"/>
        <w:numPr>
          <w:ilvl w:val="0"/>
          <w:numId w:val="9"/>
        </w:numPr>
        <w:spacing w:after="130" w:line="284" w:lineRule="auto"/>
        <w:rPr>
          <w:rFonts w:ascii="DeutscheBank" w:eastAsia="DeutscheBank" w:hAnsi="DeutscheBank" w:cs="DeutscheBank"/>
          <w:sz w:val="20"/>
          <w:szCs w:val="20"/>
        </w:rPr>
      </w:pPr>
      <w:r w:rsidRPr="2894FC4D">
        <w:rPr>
          <w:rFonts w:ascii="DeutscheBank" w:eastAsia="DeutscheBank" w:hAnsi="DeutscheBank" w:cs="DeutscheBank"/>
          <w:b/>
          <w:bCs/>
          <w:color w:val="1E2A78" w:themeColor="accent1"/>
          <w:sz w:val="20"/>
          <w:szCs w:val="20"/>
        </w:rPr>
        <w:t>Europa</w:t>
      </w:r>
      <w:r w:rsidR="6BEE39F3" w:rsidRPr="2894FC4D">
        <w:rPr>
          <w:rFonts w:ascii="DeutscheBank" w:eastAsia="DeutscheBank" w:hAnsi="DeutscheBank" w:cs="DeutscheBank"/>
          <w:b/>
          <w:bCs/>
          <w:color w:val="1E2A78" w:themeColor="accent1"/>
          <w:sz w:val="20"/>
          <w:szCs w:val="20"/>
        </w:rPr>
        <w:t xml:space="preserve"> </w:t>
      </w:r>
      <w:r w:rsidR="4FA2DB6E" w:rsidRPr="2894FC4D">
        <w:rPr>
          <w:rFonts w:ascii="DeutscheBank" w:eastAsia="DeutscheBank" w:hAnsi="DeutscheBank" w:cs="DeutscheBank"/>
          <w:b/>
          <w:bCs/>
          <w:color w:val="1E2A78" w:themeColor="accent1"/>
          <w:sz w:val="20"/>
          <w:szCs w:val="20"/>
        </w:rPr>
        <w:t>gilt</w:t>
      </w:r>
      <w:r w:rsidR="13FCC1C5" w:rsidRPr="2894FC4D">
        <w:rPr>
          <w:rFonts w:ascii="DeutscheBank" w:eastAsia="DeutscheBank" w:hAnsi="DeutscheBank" w:cs="DeutscheBank"/>
          <w:b/>
          <w:bCs/>
          <w:color w:val="1E2A78" w:themeColor="accent1"/>
          <w:sz w:val="20"/>
          <w:szCs w:val="20"/>
        </w:rPr>
        <w:t xml:space="preserve"> </w:t>
      </w:r>
      <w:r w:rsidR="06179B6B" w:rsidRPr="3334A9F6">
        <w:rPr>
          <w:rFonts w:ascii="DeutscheBank" w:eastAsia="DeutscheBank" w:hAnsi="DeutscheBank" w:cs="DeutscheBank"/>
          <w:b/>
          <w:bCs/>
          <w:color w:val="1E2A78" w:themeColor="accent1"/>
          <w:sz w:val="20"/>
          <w:szCs w:val="20"/>
        </w:rPr>
        <w:t>in</w:t>
      </w:r>
      <w:r w:rsidR="06179B6B" w:rsidRPr="6EC8AD45">
        <w:rPr>
          <w:rFonts w:ascii="DeutscheBank" w:eastAsia="DeutscheBank" w:hAnsi="DeutscheBank" w:cs="DeutscheBank"/>
          <w:b/>
          <w:bCs/>
          <w:color w:val="1E2A78" w:themeColor="accent1"/>
          <w:sz w:val="20"/>
          <w:szCs w:val="20"/>
        </w:rPr>
        <w:t xml:space="preserve"> unsicheren Zeiten als </w:t>
      </w:r>
      <w:r w:rsidR="06179B6B" w:rsidRPr="636142E6">
        <w:rPr>
          <w:rFonts w:ascii="DeutscheBank" w:eastAsia="DeutscheBank" w:hAnsi="DeutscheBank" w:cs="DeutscheBank"/>
          <w:b/>
          <w:bCs/>
          <w:color w:val="1E2A78" w:themeColor="accent1"/>
          <w:sz w:val="20"/>
          <w:szCs w:val="20"/>
        </w:rPr>
        <w:t>widerstandsfähig</w:t>
      </w:r>
      <w:r w:rsidR="796EAD46" w:rsidRPr="636142E6">
        <w:rPr>
          <w:rFonts w:ascii="DeutscheBank" w:eastAsia="DeutscheBank" w:hAnsi="DeutscheBank" w:cs="DeutscheBank"/>
          <w:b/>
          <w:bCs/>
          <w:color w:val="1E2A78" w:themeColor="accent1"/>
          <w:sz w:val="20"/>
          <w:szCs w:val="20"/>
        </w:rPr>
        <w:t>.</w:t>
      </w:r>
      <w:r w:rsidRPr="2894FC4D">
        <w:rPr>
          <w:rFonts w:ascii="DeutscheBank" w:eastAsia="DeutscheBank" w:hAnsi="DeutscheBank" w:cs="DeutscheBank"/>
          <w:b/>
          <w:bCs/>
          <w:color w:val="000000" w:themeColor="text1"/>
          <w:sz w:val="20"/>
          <w:szCs w:val="20"/>
        </w:rPr>
        <w:t xml:space="preserve"> </w:t>
      </w:r>
      <w:r w:rsidRPr="2894FC4D">
        <w:rPr>
          <w:rFonts w:ascii="DeutscheBank" w:eastAsia="DeutscheBank" w:hAnsi="DeutscheBank" w:cs="DeutscheBank"/>
          <w:color w:val="000000" w:themeColor="text1"/>
          <w:sz w:val="20"/>
          <w:szCs w:val="20"/>
        </w:rPr>
        <w:t>71 Prozent</w:t>
      </w:r>
      <w:r w:rsidR="00930C21" w:rsidRPr="5822115C" w:rsidDel="27F262E4">
        <w:rPr>
          <w:rFonts w:ascii="DeutscheBank" w:eastAsia="DeutscheBank" w:hAnsi="DeutscheBank" w:cs="DeutscheBank"/>
          <w:color w:val="000000" w:themeColor="text1"/>
          <w:sz w:val="20"/>
          <w:szCs w:val="20"/>
        </w:rPr>
        <w:t xml:space="preserve"> </w:t>
      </w:r>
      <w:r w:rsidR="0102B543" w:rsidRPr="00C4738D">
        <w:rPr>
          <w:rFonts w:ascii="DeutscheBank" w:eastAsia="DeutscheBank" w:hAnsi="DeutscheBank" w:cs="DeutscheBank"/>
          <w:color w:val="auto"/>
          <w:sz w:val="20"/>
          <w:szCs w:val="20"/>
        </w:rPr>
        <w:t>beurteilen</w:t>
      </w:r>
      <w:r w:rsidR="0102B543" w:rsidRPr="00C4738D">
        <w:rPr>
          <w:rFonts w:ascii="DeutscheBank" w:eastAsia="DeutscheBank" w:hAnsi="DeutscheBank" w:cs="DeutscheBank"/>
          <w:color w:val="1E2A78" w:themeColor="accent1"/>
          <w:sz w:val="20"/>
          <w:szCs w:val="20"/>
        </w:rPr>
        <w:t xml:space="preserve"> </w:t>
      </w:r>
      <w:r w:rsidRPr="2894FC4D">
        <w:rPr>
          <w:rFonts w:ascii="DeutscheBank" w:eastAsia="DeutscheBank" w:hAnsi="DeutscheBank" w:cs="DeutscheBank"/>
          <w:color w:val="000000" w:themeColor="text1"/>
          <w:sz w:val="20"/>
          <w:szCs w:val="20"/>
        </w:rPr>
        <w:t>Europa in Zeiten wirtschaftlicher und geopolitischer Unsicherheit als sehr oder weitgehend widerstandsfähig. Im Nahen Osten liegt dieser Wert sogar bei 82 Prozent. Stabilität ist zu einem wichtigen Standortfaktor im internationalen Wettbewerb geworden</w:t>
      </w:r>
      <w:r w:rsidRPr="2894FC4D">
        <w:rPr>
          <w:rFonts w:ascii="DeutscheBank" w:eastAsia="DeutscheBank" w:hAnsi="DeutscheBank" w:cs="DeutscheBank"/>
          <w:sz w:val="20"/>
          <w:szCs w:val="20"/>
        </w:rPr>
        <w:t>.</w:t>
      </w:r>
    </w:p>
    <w:p w14:paraId="5CF28DC3" w14:textId="6D206017" w:rsidR="00930C21" w:rsidRPr="000F7383" w:rsidRDefault="27F262E4">
      <w:pPr>
        <w:pStyle w:val="ListParagraph"/>
        <w:numPr>
          <w:ilvl w:val="0"/>
          <w:numId w:val="9"/>
        </w:numPr>
        <w:spacing w:after="130" w:line="284" w:lineRule="auto"/>
        <w:rPr>
          <w:rFonts w:ascii="DeutscheBank" w:eastAsia="DeutscheBank" w:hAnsi="DeutscheBank" w:cs="DeutscheBank"/>
          <w:sz w:val="20"/>
          <w:szCs w:val="20"/>
        </w:rPr>
      </w:pPr>
      <w:r w:rsidRPr="2894FC4D">
        <w:rPr>
          <w:rFonts w:ascii="DeutscheBank" w:eastAsia="DeutscheBank" w:hAnsi="DeutscheBank" w:cs="DeutscheBank"/>
          <w:b/>
          <w:bCs/>
          <w:color w:val="1E2A78" w:themeColor="accent1"/>
          <w:sz w:val="20"/>
          <w:szCs w:val="20"/>
        </w:rPr>
        <w:t xml:space="preserve">Investoren </w:t>
      </w:r>
      <w:r w:rsidR="638B285F" w:rsidRPr="5822115C">
        <w:rPr>
          <w:rFonts w:ascii="DeutscheBank" w:eastAsia="DeutscheBank" w:hAnsi="DeutscheBank" w:cs="DeutscheBank"/>
          <w:b/>
          <w:bCs/>
          <w:color w:val="1E2A78" w:themeColor="accent1"/>
          <w:sz w:val="20"/>
          <w:szCs w:val="20"/>
        </w:rPr>
        <w:t>wollen mehr Europa wagen</w:t>
      </w:r>
      <w:r w:rsidRPr="5822115C">
        <w:rPr>
          <w:rFonts w:ascii="DeutscheBank" w:eastAsia="DeutscheBank" w:hAnsi="DeutscheBank" w:cs="DeutscheBank"/>
          <w:b/>
          <w:bCs/>
          <w:color w:val="1E2A78" w:themeColor="accent1"/>
          <w:sz w:val="20"/>
          <w:szCs w:val="20"/>
        </w:rPr>
        <w:t>.</w:t>
      </w:r>
      <w:r w:rsidRPr="2894FC4D">
        <w:rPr>
          <w:rFonts w:ascii="DeutscheBank" w:eastAsia="DeutscheBank" w:hAnsi="DeutscheBank" w:cs="DeutscheBank"/>
          <w:b/>
          <w:bCs/>
          <w:color w:val="000000" w:themeColor="text1"/>
          <w:sz w:val="20"/>
          <w:szCs w:val="20"/>
        </w:rPr>
        <w:t xml:space="preserve"> </w:t>
      </w:r>
      <w:r w:rsidRPr="2894FC4D">
        <w:rPr>
          <w:rFonts w:ascii="DeutscheBank" w:eastAsia="DeutscheBank" w:hAnsi="DeutscheBank" w:cs="DeutscheBank"/>
          <w:sz w:val="20"/>
          <w:szCs w:val="20"/>
        </w:rPr>
        <w:t>61 Prozent der Befragten investieren bereits in Europa und planen, ihr Engagement innerhalb der nächsten fünf Jahre auszubauen. Weitere 33 Prozent planen einen Markteintritt oder ziehen einen solchen in Betracht. Für viele würde dies eine Umschichtung von Kapital aus anderen Regionen bedeuten.</w:t>
      </w:r>
    </w:p>
    <w:p w14:paraId="6035659B" w14:textId="7ECBF179" w:rsidR="00930C21" w:rsidRPr="00A256E4" w:rsidRDefault="27F262E4">
      <w:pPr>
        <w:pStyle w:val="ListParagraph"/>
        <w:numPr>
          <w:ilvl w:val="0"/>
          <w:numId w:val="9"/>
        </w:numPr>
        <w:spacing w:after="130" w:line="284" w:lineRule="auto"/>
        <w:rPr>
          <w:rFonts w:ascii="Segoe UI" w:eastAsia="Segoe UI" w:hAnsi="Segoe UI" w:cs="Segoe UI"/>
        </w:rPr>
      </w:pPr>
      <w:r w:rsidRPr="5D317838">
        <w:rPr>
          <w:rFonts w:ascii="DeutscheBank" w:eastAsia="DeutscheBank" w:hAnsi="DeutscheBank" w:cs="DeutscheBank"/>
          <w:b/>
          <w:bCs/>
          <w:color w:val="1E2A78" w:themeColor="accent1"/>
          <w:sz w:val="20"/>
          <w:szCs w:val="20"/>
        </w:rPr>
        <w:t>Europ</w:t>
      </w:r>
      <w:r w:rsidR="4D8BE9EE" w:rsidRPr="5D317838">
        <w:rPr>
          <w:rFonts w:ascii="DeutscheBank" w:eastAsia="DeutscheBank" w:hAnsi="DeutscheBank" w:cs="DeutscheBank"/>
          <w:b/>
          <w:bCs/>
          <w:color w:val="1E2A78" w:themeColor="accent1"/>
          <w:sz w:val="20"/>
          <w:szCs w:val="20"/>
        </w:rPr>
        <w:t xml:space="preserve">a ist und bleibt </w:t>
      </w:r>
      <w:r w:rsidR="2AC99976" w:rsidRPr="2894FC4D">
        <w:rPr>
          <w:rFonts w:ascii="DeutscheBank" w:eastAsia="DeutscheBank" w:hAnsi="DeutscheBank" w:cs="DeutscheBank"/>
          <w:b/>
          <w:bCs/>
          <w:color w:val="1E2A78" w:themeColor="accent1"/>
          <w:sz w:val="20"/>
          <w:szCs w:val="20"/>
        </w:rPr>
        <w:t xml:space="preserve">als Absatzmarkt </w:t>
      </w:r>
      <w:r w:rsidR="0018CD2C" w:rsidRPr="0988B76D">
        <w:rPr>
          <w:rFonts w:ascii="DeutscheBank" w:eastAsia="DeutscheBank" w:hAnsi="DeutscheBank" w:cs="DeutscheBank"/>
          <w:b/>
          <w:bCs/>
          <w:color w:val="1E2A78" w:themeColor="accent1"/>
          <w:sz w:val="20"/>
          <w:szCs w:val="20"/>
        </w:rPr>
        <w:t>attraktiv</w:t>
      </w:r>
      <w:r w:rsidR="4E2BAD11" w:rsidRPr="2894FC4D">
        <w:rPr>
          <w:rFonts w:ascii="DeutscheBank" w:eastAsia="DeutscheBank" w:hAnsi="DeutscheBank" w:cs="DeutscheBank"/>
          <w:b/>
          <w:bCs/>
          <w:color w:val="1E2A78" w:themeColor="accent1"/>
          <w:sz w:val="20"/>
          <w:szCs w:val="20"/>
        </w:rPr>
        <w:t>, seine industrielle Bedeutung wächst weiter</w:t>
      </w:r>
      <w:r w:rsidRPr="2894FC4D">
        <w:rPr>
          <w:rFonts w:ascii="DeutscheBank" w:eastAsia="DeutscheBank" w:hAnsi="DeutscheBank" w:cs="DeutscheBank"/>
          <w:b/>
          <w:bCs/>
          <w:color w:val="1E2A78" w:themeColor="accent1"/>
          <w:sz w:val="20"/>
          <w:szCs w:val="20"/>
        </w:rPr>
        <w:t>.</w:t>
      </w:r>
      <w:r w:rsidRPr="2894FC4D">
        <w:rPr>
          <w:rFonts w:ascii="DeutscheBank" w:eastAsia="DeutscheBank" w:hAnsi="DeutscheBank" w:cs="DeutscheBank"/>
          <w:b/>
          <w:bCs/>
          <w:color w:val="000000" w:themeColor="text1"/>
          <w:sz w:val="20"/>
          <w:szCs w:val="20"/>
        </w:rPr>
        <w:t xml:space="preserve"> </w:t>
      </w:r>
      <w:r w:rsidRPr="2894FC4D">
        <w:rPr>
          <w:rFonts w:ascii="DeutscheBank" w:eastAsia="DeutscheBank" w:hAnsi="DeutscheBank" w:cs="DeutscheBank"/>
          <w:sz w:val="20"/>
          <w:szCs w:val="20"/>
        </w:rPr>
        <w:t xml:space="preserve">99 Prozent bezeichnen Europa als wichtigen Absatzmarkt, 92 Prozent als wichtigen </w:t>
      </w:r>
      <w:r w:rsidR="00C10EF6">
        <w:rPr>
          <w:rFonts w:ascii="DeutscheBank" w:eastAsia="DeutscheBank" w:hAnsi="DeutscheBank" w:cs="DeutscheBank"/>
          <w:sz w:val="20"/>
          <w:szCs w:val="20"/>
        </w:rPr>
        <w:t>Standort</w:t>
      </w:r>
      <w:r w:rsidRPr="5822115C">
        <w:rPr>
          <w:rFonts w:ascii="DeutscheBank" w:eastAsia="DeutscheBank" w:hAnsi="DeutscheBank" w:cs="DeutscheBank"/>
          <w:sz w:val="20"/>
          <w:szCs w:val="20"/>
        </w:rPr>
        <w:t xml:space="preserve"> </w:t>
      </w:r>
      <w:r w:rsidR="00C10EF6" w:rsidRPr="00C10EF6">
        <w:rPr>
          <w:rFonts w:ascii="DeutscheBank" w:eastAsia="DeutscheBank" w:hAnsi="DeutscheBank" w:cs="DeutscheBank"/>
          <w:sz w:val="20"/>
          <w:szCs w:val="20"/>
        </w:rPr>
        <w:t>für Produktion, Forschung un</w:t>
      </w:r>
      <w:r w:rsidR="00C10EF6" w:rsidRPr="47942481">
        <w:rPr>
          <w:rFonts w:asciiTheme="minorHAnsi" w:eastAsiaTheme="minorEastAsia" w:hAnsiTheme="minorHAnsi" w:cstheme="minorBidi"/>
          <w:sz w:val="20"/>
          <w:szCs w:val="20"/>
        </w:rPr>
        <w:t>d Entwicklung sowie stabile Lieferketten</w:t>
      </w:r>
      <w:r w:rsidRPr="47942481">
        <w:rPr>
          <w:rFonts w:asciiTheme="minorHAnsi" w:eastAsiaTheme="minorEastAsia" w:hAnsiTheme="minorHAnsi" w:cstheme="minorBidi"/>
          <w:sz w:val="20"/>
          <w:szCs w:val="20"/>
        </w:rPr>
        <w:t xml:space="preserve">. </w:t>
      </w:r>
      <w:r w:rsidR="66EF4FCC" w:rsidRPr="47942481">
        <w:rPr>
          <w:rFonts w:asciiTheme="minorHAnsi" w:eastAsiaTheme="minorEastAsia" w:hAnsiTheme="minorHAnsi" w:cstheme="minorBidi"/>
          <w:sz w:val="20"/>
          <w:szCs w:val="20"/>
        </w:rPr>
        <w:t>Europas Rolle als Industriestandort bietet noch Wachstumspotenzi</w:t>
      </w:r>
      <w:r w:rsidR="66EF4FCC" w:rsidRPr="4B07A880">
        <w:rPr>
          <w:rFonts w:asciiTheme="minorHAnsi" w:eastAsiaTheme="minorEastAsia" w:hAnsiTheme="minorHAnsi" w:cstheme="minorBidi"/>
          <w:sz w:val="20"/>
          <w:szCs w:val="20"/>
        </w:rPr>
        <w:t xml:space="preserve">al. </w:t>
      </w:r>
      <w:r w:rsidR="571B21FD" w:rsidRPr="4B07A880">
        <w:rPr>
          <w:rFonts w:asciiTheme="minorHAnsi" w:eastAsiaTheme="minorEastAsia" w:hAnsiTheme="minorHAnsi" w:cstheme="minorBidi"/>
          <w:sz w:val="20"/>
          <w:szCs w:val="20"/>
        </w:rPr>
        <w:t xml:space="preserve">Derzeit produzieren </w:t>
      </w:r>
      <w:r w:rsidR="66EF4FCC" w:rsidRPr="4B07A880">
        <w:rPr>
          <w:rFonts w:asciiTheme="minorHAnsi" w:eastAsiaTheme="minorEastAsia" w:hAnsiTheme="minorHAnsi" w:cstheme="minorBidi"/>
          <w:sz w:val="20"/>
          <w:szCs w:val="20"/>
        </w:rPr>
        <w:t>nur 19 Prozent der bereits aktiven Unternehmen tatsächlich hier.</w:t>
      </w:r>
    </w:p>
    <w:p w14:paraId="7B87CE23" w14:textId="0988141C" w:rsidR="00930C21" w:rsidRPr="004B2881" w:rsidRDefault="27F262E4">
      <w:pPr>
        <w:pStyle w:val="ListParagraph"/>
        <w:numPr>
          <w:ilvl w:val="0"/>
          <w:numId w:val="9"/>
        </w:numPr>
        <w:spacing w:after="130" w:line="284" w:lineRule="auto"/>
        <w:rPr>
          <w:rFonts w:ascii="DeutscheBank" w:eastAsia="DeutscheBank" w:hAnsi="DeutscheBank" w:cs="DeutscheBank"/>
          <w:sz w:val="20"/>
          <w:szCs w:val="20"/>
        </w:rPr>
      </w:pPr>
      <w:r w:rsidRPr="284A9666">
        <w:rPr>
          <w:rFonts w:ascii="DeutscheBank" w:eastAsia="DeutscheBank" w:hAnsi="DeutscheBank" w:cs="DeutscheBank"/>
          <w:b/>
          <w:bCs/>
          <w:color w:val="1E2A78" w:themeColor="accent1"/>
          <w:sz w:val="20"/>
          <w:szCs w:val="20"/>
        </w:rPr>
        <w:t>Europa punktet mit Wachstum und Innovationskraft</w:t>
      </w:r>
      <w:r w:rsidRPr="284A9666">
        <w:rPr>
          <w:rFonts w:ascii="DeutscheBank" w:eastAsia="DeutscheBank" w:hAnsi="DeutscheBank" w:cs="DeutscheBank"/>
          <w:color w:val="000000" w:themeColor="text1"/>
          <w:sz w:val="20"/>
          <w:szCs w:val="20"/>
        </w:rPr>
        <w:t xml:space="preserve">. </w:t>
      </w:r>
      <w:r w:rsidRPr="284A9666">
        <w:rPr>
          <w:rFonts w:ascii="DeutscheBank" w:eastAsia="DeutscheBank" w:hAnsi="DeutscheBank" w:cs="DeutscheBank"/>
          <w:sz w:val="20"/>
          <w:szCs w:val="20"/>
        </w:rPr>
        <w:t xml:space="preserve">Die größten Vorteile Europas gegenüber anderen Regionen sehen die Befragten in den Wachstumschancen (74 Prozent) sowie </w:t>
      </w:r>
      <w:r w:rsidR="4777E3AB" w:rsidRPr="284A9666">
        <w:rPr>
          <w:rFonts w:asciiTheme="minorHAnsi" w:eastAsiaTheme="minorEastAsia" w:hAnsiTheme="minorHAnsi" w:cstheme="minorBidi"/>
          <w:sz w:val="20"/>
          <w:szCs w:val="20"/>
        </w:rPr>
        <w:t xml:space="preserve">bei </w:t>
      </w:r>
      <w:r w:rsidR="100C02BA" w:rsidRPr="284A9666">
        <w:rPr>
          <w:rFonts w:asciiTheme="minorHAnsi" w:eastAsiaTheme="minorEastAsia" w:hAnsiTheme="minorHAnsi" w:cstheme="minorBidi"/>
          <w:sz w:val="20"/>
          <w:szCs w:val="20"/>
        </w:rPr>
        <w:t>der</w:t>
      </w:r>
      <w:r w:rsidR="4777E3AB" w:rsidRPr="284A9666">
        <w:rPr>
          <w:rFonts w:asciiTheme="minorHAnsi" w:eastAsiaTheme="minorEastAsia" w:hAnsiTheme="minorHAnsi" w:cstheme="minorBidi"/>
          <w:sz w:val="20"/>
          <w:szCs w:val="20"/>
        </w:rPr>
        <w:t xml:space="preserve"> </w:t>
      </w:r>
      <w:r w:rsidR="713F7F7D" w:rsidRPr="284A9666">
        <w:rPr>
          <w:rFonts w:asciiTheme="minorHAnsi" w:eastAsiaTheme="minorEastAsia" w:hAnsiTheme="minorHAnsi" w:cstheme="minorBidi"/>
          <w:sz w:val="20"/>
          <w:szCs w:val="20"/>
        </w:rPr>
        <w:t>Innovationskraft - gerade auch in Verbindung mit dem Potenzial von KI</w:t>
      </w:r>
      <w:r w:rsidR="77DFD15B" w:rsidRPr="284A9666">
        <w:rPr>
          <w:rFonts w:asciiTheme="minorHAnsi" w:eastAsiaTheme="minorEastAsia" w:hAnsiTheme="minorHAnsi" w:cstheme="minorBidi"/>
          <w:sz w:val="20"/>
          <w:szCs w:val="20"/>
        </w:rPr>
        <w:t xml:space="preserve"> </w:t>
      </w:r>
      <w:r w:rsidRPr="284A9666">
        <w:rPr>
          <w:rFonts w:ascii="DeutscheBank" w:eastAsia="DeutscheBank" w:hAnsi="DeutscheBank" w:cs="DeutscheBank"/>
          <w:sz w:val="20"/>
          <w:szCs w:val="20"/>
        </w:rPr>
        <w:t>(71 Prozent). Es folgen internationale Vernetzung und Beziehungen (70 Prozent) sowie Stabilität (68 Prozent).</w:t>
      </w:r>
    </w:p>
    <w:p w14:paraId="23FC04F6" w14:textId="00F29F83" w:rsidR="00930C21" w:rsidRPr="00705EE1" w:rsidRDefault="27F262E4">
      <w:pPr>
        <w:pStyle w:val="ListParagraph"/>
        <w:numPr>
          <w:ilvl w:val="0"/>
          <w:numId w:val="9"/>
        </w:numPr>
        <w:spacing w:after="130" w:line="284" w:lineRule="auto"/>
        <w:rPr>
          <w:rFonts w:ascii="DeutscheBank" w:eastAsia="DeutscheBank" w:hAnsi="DeutscheBank" w:cs="DeutscheBank"/>
          <w:sz w:val="20"/>
          <w:szCs w:val="20"/>
        </w:rPr>
      </w:pPr>
      <w:r w:rsidRPr="2894FC4D">
        <w:rPr>
          <w:rFonts w:ascii="DeutscheBank" w:eastAsia="DeutscheBank" w:hAnsi="DeutscheBank" w:cs="DeutscheBank"/>
          <w:b/>
          <w:bCs/>
          <w:color w:val="1E2A78" w:themeColor="accent1"/>
          <w:sz w:val="20"/>
          <w:szCs w:val="20"/>
        </w:rPr>
        <w:t xml:space="preserve">Deutschland </w:t>
      </w:r>
      <w:r w:rsidR="1967772E" w:rsidRPr="715E0B73">
        <w:rPr>
          <w:rFonts w:ascii="DeutscheBank" w:eastAsia="DeutscheBank" w:hAnsi="DeutscheBank" w:cs="DeutscheBank"/>
          <w:b/>
          <w:bCs/>
          <w:color w:val="1E2A78" w:themeColor="accent1"/>
          <w:sz w:val="20"/>
          <w:szCs w:val="20"/>
        </w:rPr>
        <w:t xml:space="preserve">ist </w:t>
      </w:r>
      <w:r w:rsidR="27427D7E" w:rsidRPr="715E0B73">
        <w:rPr>
          <w:rFonts w:ascii="DeutscheBank" w:eastAsia="DeutscheBank" w:hAnsi="DeutscheBank" w:cs="DeutscheBank"/>
          <w:b/>
          <w:bCs/>
          <w:color w:val="1E2A78" w:themeColor="accent1"/>
          <w:sz w:val="20"/>
          <w:szCs w:val="20"/>
        </w:rPr>
        <w:t>Europas</w:t>
      </w:r>
      <w:r w:rsidRPr="2894FC4D">
        <w:rPr>
          <w:rFonts w:ascii="DeutscheBank" w:eastAsia="DeutscheBank" w:hAnsi="DeutscheBank" w:cs="DeutscheBank"/>
          <w:b/>
          <w:bCs/>
          <w:color w:val="1E2A78" w:themeColor="accent1"/>
          <w:sz w:val="20"/>
          <w:szCs w:val="20"/>
        </w:rPr>
        <w:t xml:space="preserve"> Investitionsmagnet.</w:t>
      </w:r>
      <w:r w:rsidRPr="2894FC4D">
        <w:rPr>
          <w:rFonts w:ascii="DeutscheBank" w:eastAsia="DeutscheBank" w:hAnsi="DeutscheBank" w:cs="DeutscheBank"/>
          <w:b/>
          <w:bCs/>
          <w:color w:val="000000" w:themeColor="text1"/>
          <w:sz w:val="20"/>
          <w:szCs w:val="20"/>
        </w:rPr>
        <w:t xml:space="preserve"> </w:t>
      </w:r>
      <w:r w:rsidRPr="2894FC4D">
        <w:rPr>
          <w:rFonts w:ascii="DeutscheBank" w:eastAsia="DeutscheBank" w:hAnsi="DeutscheBank" w:cs="DeutscheBank"/>
          <w:color w:val="000000" w:themeColor="text1"/>
          <w:sz w:val="20"/>
          <w:szCs w:val="20"/>
        </w:rPr>
        <w:t>56 Prozent der Befragten zählen das Land zu ihren drei bevorzugten europäischen Investitionszielen, und für 29 Prozent ist es die erste Wahl. Damit liegt Deutschland vor dem Vereinigten Königreich und Frankreich. Ausschlaggebend</w:t>
      </w:r>
      <w:r w:rsidR="744BA59A" w:rsidRPr="2894FC4D">
        <w:rPr>
          <w:rFonts w:ascii="DeutscheBank" w:eastAsia="DeutscheBank" w:hAnsi="DeutscheBank" w:cs="DeutscheBank"/>
          <w:color w:val="000000" w:themeColor="text1"/>
          <w:sz w:val="20"/>
          <w:szCs w:val="20"/>
        </w:rPr>
        <w:t xml:space="preserve"> dafür ist, dass Deutschland bei vielen Standortfaktoren gut abschneidet</w:t>
      </w:r>
      <w:r w:rsidRPr="5822115C">
        <w:rPr>
          <w:rFonts w:ascii="DeutscheBank" w:eastAsia="DeutscheBank" w:hAnsi="DeutscheBank" w:cs="DeutscheBank"/>
          <w:sz w:val="20"/>
          <w:szCs w:val="20"/>
        </w:rPr>
        <w:t>.</w:t>
      </w:r>
    </w:p>
    <w:p w14:paraId="165708BE" w14:textId="637BBB8C" w:rsidR="00930C21" w:rsidRPr="00D22839" w:rsidRDefault="27F262E4" w:rsidP="63103312">
      <w:pPr>
        <w:pStyle w:val="ListParagraph"/>
        <w:numPr>
          <w:ilvl w:val="0"/>
          <w:numId w:val="9"/>
        </w:numPr>
        <w:spacing w:after="130" w:line="284" w:lineRule="auto"/>
        <w:rPr>
          <w:rFonts w:ascii="DeutscheBank" w:eastAsia="DeutscheBank" w:hAnsi="DeutscheBank" w:cs="DeutscheBank"/>
          <w:sz w:val="20"/>
          <w:szCs w:val="20"/>
        </w:rPr>
      </w:pPr>
      <w:r w:rsidRPr="1A389430">
        <w:rPr>
          <w:rFonts w:ascii="DeutscheBank" w:eastAsia="DeutscheBank" w:hAnsi="DeutscheBank" w:cs="DeutscheBank"/>
          <w:b/>
          <w:bCs/>
          <w:color w:val="1E2A78" w:themeColor="accent1"/>
          <w:sz w:val="20"/>
          <w:szCs w:val="20"/>
        </w:rPr>
        <w:t>Europas größte Bremse ist Europa selbst.</w:t>
      </w:r>
      <w:r w:rsidRPr="1A389430">
        <w:rPr>
          <w:rFonts w:ascii="DeutscheBank" w:eastAsia="DeutscheBank" w:hAnsi="DeutscheBank" w:cs="DeutscheBank"/>
          <w:b/>
          <w:bCs/>
          <w:color w:val="000000" w:themeColor="text1"/>
          <w:sz w:val="20"/>
          <w:szCs w:val="20"/>
        </w:rPr>
        <w:t xml:space="preserve"> </w:t>
      </w:r>
      <w:r w:rsidR="4057297F" w:rsidRPr="1A389430">
        <w:rPr>
          <w:rFonts w:ascii="DeutscheBank" w:eastAsia="DeutscheBank" w:hAnsi="DeutscheBank" w:cs="DeutscheBank"/>
          <w:sz w:val="20"/>
          <w:szCs w:val="20"/>
        </w:rPr>
        <w:t>Hürden für das grenzüberschreitende Geschäft</w:t>
      </w:r>
      <w:r w:rsidRPr="1A389430">
        <w:rPr>
          <w:rFonts w:ascii="DeutscheBank" w:eastAsia="DeutscheBank" w:hAnsi="DeutscheBank" w:cs="DeutscheBank"/>
          <w:sz w:val="20"/>
          <w:szCs w:val="20"/>
        </w:rPr>
        <w:t xml:space="preserve"> mindern für 85 Prozent der Befragten zumindest in gewissem Maße die Attraktivität Europas. Bei vier Faktoren liegt der wahrgenommene Vorteil Europas unter 50 Prozent: Arbeitskosten, Steuern, Energiekosten sowie die Geschwindigkeit von Genehmigungsverfahren. Einfachere Regeln für </w:t>
      </w:r>
      <w:r w:rsidR="43FE1198" w:rsidRPr="1A389430">
        <w:rPr>
          <w:rFonts w:ascii="DeutscheBank" w:eastAsia="DeutscheBank" w:hAnsi="DeutscheBank" w:cs="DeutscheBank"/>
          <w:sz w:val="20"/>
          <w:szCs w:val="20"/>
        </w:rPr>
        <w:t>k</w:t>
      </w:r>
      <w:r w:rsidRPr="1A389430">
        <w:rPr>
          <w:rFonts w:ascii="DeutscheBank" w:eastAsia="DeutscheBank" w:hAnsi="DeutscheBank" w:cs="DeutscheBank"/>
          <w:sz w:val="20"/>
          <w:szCs w:val="20"/>
        </w:rPr>
        <w:t>ünstliche Intelligenz stehen ganz oben auf der Wunschliste der Investoren.</w:t>
      </w:r>
    </w:p>
    <w:p w14:paraId="47EB1117" w14:textId="17E566D7" w:rsidR="00930C21" w:rsidRPr="0012061C" w:rsidRDefault="27F262E4" w:rsidP="00C4738D">
      <w:pPr>
        <w:pStyle w:val="ListParagraph"/>
        <w:numPr>
          <w:ilvl w:val="0"/>
          <w:numId w:val="9"/>
        </w:numPr>
        <w:spacing w:after="130" w:line="284" w:lineRule="auto"/>
        <w:rPr>
          <w:rFonts w:ascii="DeutscheBank" w:eastAsia="DeutscheBank" w:hAnsi="DeutscheBank" w:cs="DeutscheBank"/>
          <w:sz w:val="20"/>
          <w:szCs w:val="20"/>
        </w:rPr>
      </w:pPr>
      <w:r w:rsidRPr="2894FC4D">
        <w:rPr>
          <w:rFonts w:ascii="DeutscheBank" w:eastAsia="DeutscheBank" w:hAnsi="DeutscheBank" w:cs="DeutscheBank"/>
          <w:b/>
          <w:bCs/>
          <w:color w:val="1E2A78" w:themeColor="accent1"/>
          <w:sz w:val="20"/>
          <w:szCs w:val="20"/>
        </w:rPr>
        <w:t xml:space="preserve">Europäische Banken </w:t>
      </w:r>
      <w:r w:rsidR="6CB50F79" w:rsidRPr="5822115C">
        <w:rPr>
          <w:rFonts w:ascii="DeutscheBank" w:eastAsia="DeutscheBank" w:hAnsi="DeutscheBank" w:cs="DeutscheBank"/>
          <w:b/>
          <w:bCs/>
          <w:color w:val="1E2A78" w:themeColor="accent1"/>
          <w:sz w:val="20"/>
          <w:szCs w:val="20"/>
        </w:rPr>
        <w:t>bevorzugt</w:t>
      </w:r>
      <w:r w:rsidRPr="5822115C">
        <w:rPr>
          <w:rFonts w:ascii="DeutscheBank" w:eastAsia="DeutscheBank" w:hAnsi="DeutscheBank" w:cs="DeutscheBank"/>
          <w:b/>
          <w:bCs/>
          <w:color w:val="1E2A78" w:themeColor="accent1"/>
          <w:sz w:val="20"/>
          <w:szCs w:val="20"/>
        </w:rPr>
        <w:t>.</w:t>
      </w:r>
      <w:r w:rsidRPr="2894FC4D">
        <w:rPr>
          <w:rFonts w:ascii="DeutscheBank" w:eastAsia="DeutscheBank" w:hAnsi="DeutscheBank" w:cs="DeutscheBank"/>
          <w:b/>
          <w:bCs/>
          <w:color w:val="000000" w:themeColor="text1"/>
          <w:sz w:val="20"/>
          <w:szCs w:val="20"/>
        </w:rPr>
        <w:t xml:space="preserve"> </w:t>
      </w:r>
      <w:r w:rsidRPr="2894FC4D">
        <w:rPr>
          <w:rFonts w:ascii="DeutscheBank" w:eastAsia="DeutscheBank" w:hAnsi="DeutscheBank" w:cs="DeutscheBank"/>
          <w:sz w:val="20"/>
          <w:szCs w:val="20"/>
        </w:rPr>
        <w:t>60 Prozent der Befragten würden bevorzugt mit einer europäischen Bank zusammenarbeiten. Das wichtigste Kriterium bei der Auswahl eines Bankpartners ist dessen finanzielle Stärke. Dahinter folgen ein robustes Risiko- und Compliance-Management sowie fundierte Kenntnisse der lokalen Märkte und regulatorischen Rahmenbedingungen.</w:t>
      </w:r>
    </w:p>
    <w:p w14:paraId="5EACC9B0" w14:textId="2893B751" w:rsidR="0008751D" w:rsidRPr="00423136" w:rsidRDefault="390F054B" w:rsidP="00296540">
      <w:pPr>
        <w:pStyle w:val="Heading1"/>
        <w:pageBreakBefore/>
        <w:numPr>
          <w:ilvl w:val="0"/>
          <w:numId w:val="0"/>
        </w:numPr>
        <w:rPr>
          <w:rFonts w:ascii="DeutscheBank" w:hAnsi="DeutscheBank"/>
          <w:sz w:val="28"/>
          <w:szCs w:val="28"/>
        </w:rPr>
      </w:pPr>
      <w:bookmarkStart w:id="3" w:name="_Toc240632245"/>
      <w:r w:rsidRPr="185ADF74">
        <w:rPr>
          <w:rFonts w:ascii="DeutscheBank" w:hAnsi="DeutscheBank"/>
          <w:sz w:val="28"/>
          <w:szCs w:val="28"/>
        </w:rPr>
        <w:lastRenderedPageBreak/>
        <w:t>Methodik</w:t>
      </w:r>
      <w:bookmarkEnd w:id="3"/>
    </w:p>
    <w:p w14:paraId="4B871411" w14:textId="57C44F1D" w:rsidR="00600ABF" w:rsidRPr="00600ABF" w:rsidRDefault="2B825B5A" w:rsidP="2894FC4D">
      <w:pPr>
        <w:spacing w:after="150" w:line="288" w:lineRule="auto"/>
        <w:rPr>
          <w:rFonts w:ascii="DeutscheBank" w:hAnsi="DeutscheBank"/>
          <w:sz w:val="20"/>
          <w:szCs w:val="20"/>
        </w:rPr>
      </w:pPr>
      <w:r w:rsidRPr="2894FC4D">
        <w:rPr>
          <w:rFonts w:ascii="DeutscheBank" w:hAnsi="DeutscheBank"/>
          <w:sz w:val="20"/>
          <w:szCs w:val="20"/>
        </w:rPr>
        <w:t xml:space="preserve">Diese Studie betrachtet Europa aus der Perspektive internationaler Investoren. Sie befragt Führungskräfte, die über Investitionen entscheiden und in Unternehmen außerhalb Europas </w:t>
      </w:r>
      <w:r w:rsidRPr="5822115C">
        <w:rPr>
          <w:rFonts w:ascii="DeutscheBank" w:hAnsi="DeutscheBank"/>
          <w:sz w:val="20"/>
          <w:szCs w:val="20"/>
        </w:rPr>
        <w:t>arbei</w:t>
      </w:r>
      <w:r w:rsidR="3C68EDC5" w:rsidRPr="5822115C">
        <w:rPr>
          <w:rFonts w:ascii="DeutscheBank" w:hAnsi="DeutscheBank"/>
          <w:sz w:val="20"/>
          <w:szCs w:val="20"/>
        </w:rPr>
        <w:t>ten</w:t>
      </w:r>
      <w:r w:rsidR="00600ABF" w:rsidRPr="00600ABF">
        <w:rPr>
          <w:rFonts w:ascii="DeutscheBank" w:hAnsi="DeutscheBank"/>
          <w:sz w:val="20"/>
          <w:szCs w:val="20"/>
        </w:rPr>
        <w:t>,</w:t>
      </w:r>
      <w:r w:rsidR="00600ABF" w:rsidRPr="2894FC4D" w:rsidDel="2B825B5A">
        <w:rPr>
          <w:rFonts w:ascii="DeutscheBank" w:hAnsi="DeutscheBank"/>
          <w:sz w:val="20"/>
          <w:szCs w:val="20"/>
        </w:rPr>
        <w:t xml:space="preserve"> </w:t>
      </w:r>
      <w:r w:rsidR="642F8769" w:rsidRPr="2894FC4D">
        <w:rPr>
          <w:rFonts w:ascii="DeutscheBank" w:hAnsi="DeutscheBank"/>
          <w:sz w:val="20"/>
          <w:szCs w:val="20"/>
        </w:rPr>
        <w:t xml:space="preserve">welche </w:t>
      </w:r>
      <w:r w:rsidRPr="2894FC4D">
        <w:rPr>
          <w:rFonts w:ascii="DeutscheBank" w:hAnsi="DeutscheBank"/>
          <w:sz w:val="20"/>
          <w:szCs w:val="20"/>
        </w:rPr>
        <w:t xml:space="preserve">bereits in Europa investieren oder dies planen. </w:t>
      </w:r>
    </w:p>
    <w:p w14:paraId="1819AB97" w14:textId="1DDF22A3" w:rsidR="00600ABF" w:rsidRPr="00600ABF" w:rsidRDefault="2B825B5A" w:rsidP="2894FC4D">
      <w:pPr>
        <w:spacing w:after="150" w:line="288" w:lineRule="auto"/>
        <w:rPr>
          <w:rFonts w:ascii="DeutscheBank" w:hAnsi="DeutscheBank"/>
          <w:sz w:val="20"/>
          <w:szCs w:val="20"/>
        </w:rPr>
      </w:pPr>
      <w:r w:rsidRPr="2894FC4D">
        <w:rPr>
          <w:rFonts w:ascii="DeutscheBank" w:hAnsi="DeutscheBank"/>
          <w:sz w:val="20"/>
          <w:szCs w:val="20"/>
        </w:rPr>
        <w:t xml:space="preserve">Die </w:t>
      </w:r>
      <w:r w:rsidR="34AB7357" w:rsidRPr="2894FC4D">
        <w:rPr>
          <w:rFonts w:ascii="DeutscheBank" w:hAnsi="DeutscheBank"/>
          <w:sz w:val="20"/>
          <w:szCs w:val="20"/>
        </w:rPr>
        <w:t>„</w:t>
      </w:r>
      <w:r w:rsidRPr="2894FC4D">
        <w:rPr>
          <w:rFonts w:ascii="DeutscheBank" w:hAnsi="DeutscheBank"/>
          <w:sz w:val="20"/>
          <w:szCs w:val="20"/>
        </w:rPr>
        <w:t>Global Sentiment Survey on Europe 2026</w:t>
      </w:r>
      <w:r w:rsidR="5735D104" w:rsidRPr="2894FC4D">
        <w:rPr>
          <w:rFonts w:ascii="DeutscheBank" w:hAnsi="DeutscheBank"/>
          <w:sz w:val="20"/>
          <w:szCs w:val="20"/>
        </w:rPr>
        <w:t>”</w:t>
      </w:r>
      <w:r w:rsidRPr="2894FC4D">
        <w:rPr>
          <w:rFonts w:ascii="DeutscheBank" w:hAnsi="DeutscheBank"/>
          <w:sz w:val="20"/>
          <w:szCs w:val="20"/>
        </w:rPr>
        <w:t xml:space="preserve"> wurde im Juli und August 2026 als Online-Befragung erhoben. Befragt wurden 1.200 </w:t>
      </w:r>
      <w:r w:rsidR="5633152D" w:rsidRPr="5822115C">
        <w:rPr>
          <w:rFonts w:ascii="DeutscheBank" w:hAnsi="DeutscheBank"/>
          <w:sz w:val="20"/>
          <w:szCs w:val="20"/>
        </w:rPr>
        <w:t>Führungskrä</w:t>
      </w:r>
      <w:r w:rsidR="2C503907" w:rsidRPr="5822115C">
        <w:rPr>
          <w:rFonts w:ascii="DeutscheBank" w:hAnsi="DeutscheBank"/>
          <w:sz w:val="20"/>
          <w:szCs w:val="20"/>
        </w:rPr>
        <w:t>f</w:t>
      </w:r>
      <w:r w:rsidR="5633152D" w:rsidRPr="5822115C">
        <w:rPr>
          <w:rFonts w:ascii="DeutscheBank" w:hAnsi="DeutscheBank"/>
          <w:sz w:val="20"/>
          <w:szCs w:val="20"/>
        </w:rPr>
        <w:t>te</w:t>
      </w:r>
      <w:r w:rsidRPr="2894FC4D">
        <w:rPr>
          <w:rFonts w:ascii="DeutscheBank" w:hAnsi="DeutscheBank"/>
          <w:sz w:val="20"/>
          <w:szCs w:val="20"/>
        </w:rPr>
        <w:t xml:space="preserve"> </w:t>
      </w:r>
      <w:r w:rsidR="53D670AB" w:rsidRPr="2894FC4D">
        <w:rPr>
          <w:rFonts w:ascii="DeutscheBank" w:hAnsi="DeutscheBank"/>
          <w:sz w:val="20"/>
          <w:szCs w:val="20"/>
        </w:rPr>
        <w:t xml:space="preserve">und Entscheidungsträger </w:t>
      </w:r>
      <w:r w:rsidRPr="2894FC4D">
        <w:rPr>
          <w:rFonts w:ascii="DeutscheBank" w:hAnsi="DeutscheBank"/>
          <w:sz w:val="20"/>
          <w:szCs w:val="20"/>
        </w:rPr>
        <w:t>aus Unternehmen mit mindestens 100 Beschäftigten</w:t>
      </w:r>
      <w:r w:rsidR="22442579" w:rsidRPr="2894FC4D">
        <w:rPr>
          <w:rFonts w:ascii="DeutscheBank" w:hAnsi="DeutscheBank"/>
          <w:sz w:val="20"/>
          <w:szCs w:val="20"/>
        </w:rPr>
        <w:t xml:space="preserve">. Alle Unternehmen haben </w:t>
      </w:r>
      <w:r w:rsidR="79B73EC7" w:rsidRPr="5822115C">
        <w:rPr>
          <w:rFonts w:ascii="DeutscheBank" w:hAnsi="DeutscheBank"/>
          <w:sz w:val="20"/>
          <w:szCs w:val="20"/>
        </w:rPr>
        <w:t>ihren</w:t>
      </w:r>
      <w:r w:rsidRPr="2894FC4D">
        <w:rPr>
          <w:rFonts w:ascii="DeutscheBank" w:hAnsi="DeutscheBank"/>
          <w:sz w:val="20"/>
          <w:szCs w:val="20"/>
        </w:rPr>
        <w:t xml:space="preserve"> Hauptsitz </w:t>
      </w:r>
      <w:r w:rsidR="7F343AB0" w:rsidRPr="2894FC4D">
        <w:rPr>
          <w:rFonts w:ascii="DeutscheBank" w:hAnsi="DeutscheBank"/>
          <w:sz w:val="20"/>
          <w:szCs w:val="20"/>
        </w:rPr>
        <w:t xml:space="preserve">außerhalb Europas, verteilt auf </w:t>
      </w:r>
      <w:r w:rsidRPr="2894FC4D">
        <w:rPr>
          <w:rFonts w:ascii="DeutscheBank" w:hAnsi="DeutscheBank"/>
          <w:sz w:val="20"/>
          <w:szCs w:val="20"/>
        </w:rPr>
        <w:t>13</w:t>
      </w:r>
      <w:r w:rsidR="00600ABF" w:rsidRPr="2894FC4D" w:rsidDel="2B825B5A">
        <w:rPr>
          <w:rFonts w:ascii="DeutscheBank" w:hAnsi="DeutscheBank"/>
          <w:sz w:val="20"/>
          <w:szCs w:val="20"/>
        </w:rPr>
        <w:t xml:space="preserve"> </w:t>
      </w:r>
      <w:r w:rsidR="00600ABF" w:rsidRPr="00600ABF">
        <w:rPr>
          <w:rFonts w:ascii="DeutscheBank" w:hAnsi="DeutscheBank"/>
          <w:sz w:val="20"/>
          <w:szCs w:val="20"/>
        </w:rPr>
        <w:t xml:space="preserve">Märkte </w:t>
      </w:r>
      <w:r w:rsidR="23DD6877" w:rsidRPr="5822115C">
        <w:rPr>
          <w:rFonts w:ascii="DeutscheBank" w:hAnsi="DeutscheBank"/>
          <w:sz w:val="20"/>
          <w:szCs w:val="20"/>
        </w:rPr>
        <w:t xml:space="preserve">in </w:t>
      </w:r>
      <w:r w:rsidR="23DD6877" w:rsidRPr="2894FC4D">
        <w:rPr>
          <w:rFonts w:ascii="DeutscheBank" w:hAnsi="DeutscheBank"/>
          <w:sz w:val="20"/>
          <w:szCs w:val="20"/>
        </w:rPr>
        <w:t xml:space="preserve">drei Regionen. Unter den Befragten </w:t>
      </w:r>
      <w:r w:rsidR="2DA5668E" w:rsidRPr="2894FC4D">
        <w:rPr>
          <w:rFonts w:ascii="DeutscheBank" w:hAnsi="DeutscheBank"/>
          <w:sz w:val="20"/>
          <w:szCs w:val="20"/>
        </w:rPr>
        <w:t xml:space="preserve">waren </w:t>
      </w:r>
      <w:r w:rsidR="23DD6877" w:rsidRPr="2894FC4D">
        <w:rPr>
          <w:rFonts w:ascii="DeutscheBank" w:hAnsi="DeutscheBank"/>
          <w:sz w:val="20"/>
          <w:szCs w:val="20"/>
        </w:rPr>
        <w:t xml:space="preserve">600 aus der Region </w:t>
      </w:r>
      <w:r w:rsidRPr="2894FC4D">
        <w:rPr>
          <w:rFonts w:ascii="DeutscheBank" w:hAnsi="DeutscheBank"/>
          <w:sz w:val="20"/>
          <w:szCs w:val="20"/>
        </w:rPr>
        <w:t xml:space="preserve">Asien-Pazifik </w:t>
      </w:r>
      <w:r w:rsidR="2826ED8A" w:rsidRPr="5822115C">
        <w:rPr>
          <w:rFonts w:ascii="DeutscheBank" w:hAnsi="DeutscheBank"/>
          <w:sz w:val="20"/>
          <w:szCs w:val="20"/>
        </w:rPr>
        <w:t>(</w:t>
      </w:r>
      <w:r w:rsidRPr="2894FC4D">
        <w:rPr>
          <w:rFonts w:ascii="DeutscheBank" w:hAnsi="DeutscheBank"/>
          <w:sz w:val="20"/>
          <w:szCs w:val="20"/>
        </w:rPr>
        <w:t>China</w:t>
      </w:r>
      <w:r w:rsidR="12B0D9B3" w:rsidRPr="2894FC4D">
        <w:rPr>
          <w:rFonts w:ascii="DeutscheBank" w:hAnsi="DeutscheBank"/>
          <w:sz w:val="20"/>
          <w:szCs w:val="20"/>
        </w:rPr>
        <w:t xml:space="preserve"> </w:t>
      </w:r>
      <w:r w:rsidR="786817DD" w:rsidRPr="4F7273C9">
        <w:rPr>
          <w:rFonts w:ascii="DeutscheBank" w:hAnsi="DeutscheBank"/>
          <w:sz w:val="20"/>
          <w:szCs w:val="20"/>
        </w:rPr>
        <w:t xml:space="preserve">– </w:t>
      </w:r>
      <w:r w:rsidR="12B0D9B3" w:rsidRPr="2894FC4D">
        <w:rPr>
          <w:rFonts w:ascii="DeutscheBank" w:hAnsi="DeutscheBank"/>
          <w:sz w:val="20"/>
          <w:szCs w:val="20"/>
        </w:rPr>
        <w:t>inklusive Hongkong</w:t>
      </w:r>
      <w:r w:rsidR="0BCDF68F" w:rsidRPr="2894FC4D">
        <w:rPr>
          <w:rFonts w:ascii="DeutscheBank" w:hAnsi="DeutscheBank"/>
          <w:sz w:val="20"/>
          <w:szCs w:val="20"/>
        </w:rPr>
        <w:t>, im übrigen Report nur China genannt</w:t>
      </w:r>
      <w:r w:rsidR="06DF96D2" w:rsidRPr="5D6889E5">
        <w:rPr>
          <w:rFonts w:ascii="DeutscheBank" w:hAnsi="DeutscheBank"/>
          <w:sz w:val="20"/>
          <w:szCs w:val="20"/>
        </w:rPr>
        <w:t xml:space="preserve"> –</w:t>
      </w:r>
      <w:r w:rsidRPr="2894FC4D">
        <w:rPr>
          <w:rFonts w:ascii="DeutscheBank" w:hAnsi="DeutscheBank"/>
          <w:sz w:val="20"/>
          <w:szCs w:val="20"/>
        </w:rPr>
        <w:t xml:space="preserve"> Japan, Singapur, Indien, Australien, Südkorea und Taiwan</w:t>
      </w:r>
      <w:r w:rsidR="216088A6" w:rsidRPr="2894FC4D">
        <w:rPr>
          <w:rFonts w:ascii="DeutscheBank" w:hAnsi="DeutscheBank"/>
          <w:sz w:val="20"/>
          <w:szCs w:val="20"/>
        </w:rPr>
        <w:t xml:space="preserve">), 400 aus Amerika </w:t>
      </w:r>
      <w:r w:rsidR="7ABD6609" w:rsidRPr="5822115C">
        <w:rPr>
          <w:rFonts w:ascii="DeutscheBank" w:hAnsi="DeutscheBank"/>
          <w:sz w:val="20"/>
          <w:szCs w:val="20"/>
        </w:rPr>
        <w:t>(</w:t>
      </w:r>
      <w:r w:rsidRPr="2894FC4D">
        <w:rPr>
          <w:rFonts w:ascii="DeutscheBank" w:hAnsi="DeutscheBank"/>
          <w:sz w:val="20"/>
          <w:szCs w:val="20"/>
        </w:rPr>
        <w:t>USA, Kanada, Brasilien und Mexiko</w:t>
      </w:r>
      <w:r w:rsidR="67476C6F" w:rsidRPr="2894FC4D">
        <w:rPr>
          <w:rFonts w:ascii="DeutscheBank" w:hAnsi="DeutscheBank"/>
          <w:sz w:val="20"/>
          <w:szCs w:val="20"/>
        </w:rPr>
        <w:t>) und 200 aus dem Nahen Oste</w:t>
      </w:r>
      <w:r w:rsidR="56B3D587" w:rsidRPr="2894FC4D">
        <w:rPr>
          <w:rFonts w:ascii="DeutscheBank" w:hAnsi="DeutscheBank"/>
          <w:sz w:val="20"/>
          <w:szCs w:val="20"/>
        </w:rPr>
        <w:t>n</w:t>
      </w:r>
      <w:r w:rsidR="4091685E" w:rsidRPr="2894FC4D">
        <w:rPr>
          <w:rFonts w:ascii="DeutscheBank" w:hAnsi="DeutscheBank"/>
          <w:sz w:val="20"/>
          <w:szCs w:val="20"/>
        </w:rPr>
        <w:t xml:space="preserve"> </w:t>
      </w:r>
      <w:r w:rsidR="4655536F" w:rsidRPr="2894FC4D">
        <w:rPr>
          <w:rFonts w:ascii="DeutscheBank" w:hAnsi="DeutscheBank"/>
          <w:sz w:val="20"/>
          <w:szCs w:val="20"/>
        </w:rPr>
        <w:t>(</w:t>
      </w:r>
      <w:r w:rsidR="4091685E" w:rsidRPr="2894FC4D">
        <w:rPr>
          <w:rFonts w:ascii="DeutscheBank" w:hAnsi="DeutscheBank"/>
          <w:sz w:val="20"/>
          <w:szCs w:val="20"/>
        </w:rPr>
        <w:t>Vereinigte Arabische Emirate und Saudi-Arabien</w:t>
      </w:r>
      <w:r w:rsidR="7C9C4D41" w:rsidRPr="2894FC4D">
        <w:rPr>
          <w:rFonts w:ascii="DeutscheBank" w:hAnsi="DeutscheBank"/>
          <w:sz w:val="20"/>
          <w:szCs w:val="20"/>
        </w:rPr>
        <w:t>)</w:t>
      </w:r>
      <w:r w:rsidR="4091685E" w:rsidRPr="2894FC4D">
        <w:rPr>
          <w:rFonts w:ascii="DeutscheBank" w:hAnsi="DeutscheBank"/>
          <w:sz w:val="20"/>
          <w:szCs w:val="20"/>
        </w:rPr>
        <w:t>.</w:t>
      </w:r>
    </w:p>
    <w:p w14:paraId="2BD88A69" w14:textId="79DFE997" w:rsidR="00600ABF" w:rsidRPr="00600ABF" w:rsidRDefault="2B825B5A" w:rsidP="00600ABF">
      <w:pPr>
        <w:spacing w:after="150" w:line="288" w:lineRule="auto"/>
        <w:rPr>
          <w:rFonts w:ascii="DeutscheBank" w:hAnsi="DeutscheBank"/>
          <w:sz w:val="20"/>
          <w:szCs w:val="20"/>
        </w:rPr>
      </w:pPr>
      <w:r w:rsidRPr="2894FC4D">
        <w:rPr>
          <w:rFonts w:ascii="DeutscheBank" w:hAnsi="DeutscheBank"/>
          <w:sz w:val="20"/>
          <w:szCs w:val="20"/>
        </w:rPr>
        <w:t xml:space="preserve">Die Befragten wurden anhand unterschiedlicher Kriterien ausgewählt, um fundierte und für Investitionsentscheidungen relevante Einschätzungen zu erfassen, statt lediglich allgemeine Meinungen abzubilden. Teilnahmeberechtigt waren ausschließlich Führungskräfte und </w:t>
      </w:r>
      <w:r w:rsidR="006A7E52">
        <w:rPr>
          <w:rFonts w:ascii="DeutscheBank" w:hAnsi="DeutscheBank"/>
          <w:sz w:val="20"/>
          <w:szCs w:val="20"/>
        </w:rPr>
        <w:t>Entscheidungsträger</w:t>
      </w:r>
      <w:r w:rsidRPr="2894FC4D">
        <w:rPr>
          <w:rFonts w:ascii="DeutscheBank" w:hAnsi="DeutscheBank"/>
          <w:sz w:val="20"/>
          <w:szCs w:val="20"/>
        </w:rPr>
        <w:t xml:space="preserve"> mit strategischer oder finanzieller Verantwortung.</w:t>
      </w:r>
    </w:p>
    <w:p w14:paraId="71F2D326" w14:textId="236FBB63" w:rsidR="00423136" w:rsidRDefault="2B825B5A" w:rsidP="2894FC4D">
      <w:pPr>
        <w:spacing w:after="150" w:line="288" w:lineRule="auto"/>
        <w:rPr>
          <w:rFonts w:ascii="DeutscheBank" w:hAnsi="DeutscheBank"/>
          <w:sz w:val="20"/>
          <w:szCs w:val="20"/>
        </w:rPr>
      </w:pPr>
      <w:r w:rsidRPr="2894FC4D">
        <w:rPr>
          <w:rFonts w:ascii="DeutscheBank" w:hAnsi="DeutscheBank"/>
          <w:sz w:val="20"/>
          <w:szCs w:val="20"/>
        </w:rPr>
        <w:t xml:space="preserve">Das wichtigste Auswahlkriterium war </w:t>
      </w:r>
      <w:r w:rsidR="0CDD9579" w:rsidRPr="2894FC4D">
        <w:rPr>
          <w:rFonts w:ascii="DeutscheBank" w:hAnsi="DeutscheBank"/>
          <w:sz w:val="20"/>
          <w:szCs w:val="20"/>
        </w:rPr>
        <w:t xml:space="preserve">das bisherige </w:t>
      </w:r>
      <w:r w:rsidR="7AF0664F" w:rsidRPr="5822115C">
        <w:rPr>
          <w:rFonts w:ascii="DeutscheBank" w:hAnsi="DeutscheBank"/>
          <w:sz w:val="20"/>
          <w:szCs w:val="20"/>
        </w:rPr>
        <w:t>Erfahrung</w:t>
      </w:r>
      <w:r w:rsidR="00110DD0">
        <w:rPr>
          <w:rFonts w:ascii="DeutscheBank" w:hAnsi="DeutscheBank"/>
          <w:sz w:val="20"/>
          <w:szCs w:val="20"/>
        </w:rPr>
        <w:t>s</w:t>
      </w:r>
      <w:r w:rsidR="0BEB013F" w:rsidRPr="5822115C">
        <w:rPr>
          <w:rFonts w:ascii="DeutscheBank" w:hAnsi="DeutscheBank"/>
          <w:sz w:val="20"/>
          <w:szCs w:val="20"/>
        </w:rPr>
        <w:t>niveau</w:t>
      </w:r>
      <w:r w:rsidR="7AF0664F" w:rsidRPr="2894FC4D">
        <w:rPr>
          <w:rFonts w:ascii="DeutscheBank" w:hAnsi="DeutscheBank"/>
          <w:sz w:val="20"/>
          <w:szCs w:val="20"/>
        </w:rPr>
        <w:t xml:space="preserve"> mit Europa</w:t>
      </w:r>
      <w:r w:rsidRPr="2894FC4D">
        <w:rPr>
          <w:rFonts w:ascii="DeutscheBank" w:hAnsi="DeutscheBank"/>
          <w:sz w:val="20"/>
          <w:szCs w:val="20"/>
        </w:rPr>
        <w:t>: Berücksichtigt wurden nur Unternehmen, die bereits in Europa investieren oder operativ tätig sind oder einen Markteintritt innerhalb der kommenden fünf Jahre in Betracht ziehen</w:t>
      </w:r>
      <w:r w:rsidR="0E152559" w:rsidRPr="2894FC4D">
        <w:rPr>
          <w:rFonts w:ascii="DeutscheBank" w:hAnsi="DeutscheBank"/>
          <w:sz w:val="20"/>
          <w:szCs w:val="20"/>
        </w:rPr>
        <w:t xml:space="preserve">.  </w:t>
      </w:r>
    </w:p>
    <w:p w14:paraId="56005BB7" w14:textId="4EF7F548" w:rsidR="0008751D" w:rsidRPr="001B1872" w:rsidRDefault="3C19AA9E" w:rsidP="2894FC4D">
      <w:pPr>
        <w:spacing w:after="150" w:line="288" w:lineRule="auto"/>
        <w:rPr>
          <w:rFonts w:ascii="DeutscheBank" w:hAnsi="DeutscheBank"/>
          <w:b/>
          <w:bCs/>
          <w:sz w:val="20"/>
          <w:szCs w:val="20"/>
        </w:rPr>
      </w:pPr>
      <w:r w:rsidRPr="2894FC4D">
        <w:rPr>
          <w:rFonts w:ascii="DeutscheBank" w:hAnsi="DeutscheBank"/>
          <w:b/>
          <w:bCs/>
          <w:sz w:val="20"/>
          <w:szCs w:val="20"/>
        </w:rPr>
        <w:t xml:space="preserve">Hinweise zur </w:t>
      </w:r>
      <w:r w:rsidR="001B1872" w:rsidRPr="2894FC4D" w:rsidDel="3C19AA9E">
        <w:rPr>
          <w:rFonts w:ascii="DeutscheBank" w:hAnsi="DeutscheBank"/>
          <w:b/>
          <w:bCs/>
          <w:sz w:val="20"/>
          <w:szCs w:val="20"/>
        </w:rPr>
        <w:t>Einordnung der Ergebnisse</w:t>
      </w:r>
      <w:r w:rsidR="001B1872" w:rsidRPr="001B1872">
        <w:rPr>
          <w:rFonts w:ascii="DeutscheBank" w:hAnsi="DeutscheBank"/>
          <w:b/>
          <w:bCs/>
          <w:sz w:val="20"/>
          <w:szCs w:val="20"/>
        </w:rPr>
        <w:t xml:space="preserve"> </w:t>
      </w:r>
    </w:p>
    <w:p w14:paraId="66CB704B" w14:textId="6303AB51" w:rsidR="0008751D" w:rsidRPr="005A66F9" w:rsidRDefault="02697621" w:rsidP="2894FC4D">
      <w:pPr>
        <w:spacing w:after="150" w:line="288" w:lineRule="auto"/>
        <w:rPr>
          <w:rFonts w:ascii="DeutscheBank" w:hAnsi="DeutscheBank"/>
          <w:sz w:val="20"/>
          <w:szCs w:val="20"/>
        </w:rPr>
      </w:pPr>
      <w:r w:rsidRPr="2894FC4D">
        <w:rPr>
          <w:rFonts w:ascii="DeutscheBank" w:hAnsi="DeutscheBank"/>
          <w:sz w:val="20"/>
          <w:szCs w:val="20"/>
        </w:rPr>
        <w:t>Die Ergebnisse der Umfrage liefern ein klares und aussagekräftiges Bild davon, wie relevante Entscheidungsträger</w:t>
      </w:r>
      <w:r w:rsidR="00CE619B" w:rsidRPr="2894FC4D" w:rsidDel="02697621">
        <w:rPr>
          <w:rFonts w:ascii="DeutscheBank" w:hAnsi="DeutscheBank"/>
          <w:sz w:val="20"/>
          <w:szCs w:val="20"/>
        </w:rPr>
        <w:t xml:space="preserve"> </w:t>
      </w:r>
      <w:r w:rsidR="00CE619B" w:rsidRPr="00CE619B">
        <w:rPr>
          <w:rFonts w:ascii="DeutscheBank" w:hAnsi="DeutscheBank"/>
          <w:sz w:val="20"/>
          <w:szCs w:val="20"/>
        </w:rPr>
        <w:t>in de</w:t>
      </w:r>
      <w:r w:rsidR="0200176C" w:rsidRPr="5822115C">
        <w:rPr>
          <w:rFonts w:ascii="DeutscheBank" w:hAnsi="DeutscheBank"/>
          <w:sz w:val="20"/>
          <w:szCs w:val="20"/>
        </w:rPr>
        <w:t>n</w:t>
      </w:r>
      <w:r w:rsidR="00CE619B" w:rsidRPr="2894FC4D" w:rsidDel="02697621">
        <w:rPr>
          <w:rFonts w:ascii="DeutscheBank" w:hAnsi="DeutscheBank"/>
          <w:sz w:val="20"/>
          <w:szCs w:val="20"/>
        </w:rPr>
        <w:t xml:space="preserve"> </w:t>
      </w:r>
      <w:r w:rsidR="3396B05D" w:rsidRPr="2894FC4D">
        <w:rPr>
          <w:rFonts w:ascii="DeutscheBank" w:hAnsi="DeutscheBank"/>
          <w:sz w:val="20"/>
          <w:szCs w:val="20"/>
        </w:rPr>
        <w:t xml:space="preserve">oben beschriebenen </w:t>
      </w:r>
      <w:r w:rsidR="202EA845" w:rsidRPr="2894FC4D">
        <w:rPr>
          <w:rFonts w:ascii="DeutscheBank" w:hAnsi="DeutscheBank"/>
          <w:sz w:val="20"/>
          <w:szCs w:val="20"/>
        </w:rPr>
        <w:t xml:space="preserve">Unternehmen </w:t>
      </w:r>
      <w:r w:rsidRPr="2894FC4D">
        <w:rPr>
          <w:rFonts w:ascii="DeutscheBank" w:hAnsi="DeutscheBank"/>
          <w:sz w:val="20"/>
          <w:szCs w:val="20"/>
        </w:rPr>
        <w:t xml:space="preserve">Europa wahrnehmen. </w:t>
      </w:r>
      <w:r w:rsidR="105CD860" w:rsidRPr="2894FC4D">
        <w:rPr>
          <w:rFonts w:ascii="DeutscheBank" w:hAnsi="DeutscheBank"/>
          <w:sz w:val="20"/>
          <w:szCs w:val="20"/>
        </w:rPr>
        <w:t>Es handelt sich nicht um eine repräsentative Umfrage</w:t>
      </w:r>
      <w:r w:rsidR="5F22CDD6" w:rsidRPr="2894FC4D">
        <w:rPr>
          <w:rFonts w:ascii="DeutscheBank" w:hAnsi="DeutscheBank"/>
          <w:sz w:val="20"/>
          <w:szCs w:val="20"/>
        </w:rPr>
        <w:t xml:space="preserve"> unter allen Unternehmen in den 13 Märkten</w:t>
      </w:r>
      <w:r w:rsidR="759A7C4B" w:rsidRPr="2894FC4D">
        <w:rPr>
          <w:rFonts w:ascii="DeutscheBank" w:hAnsi="DeutscheBank"/>
          <w:sz w:val="20"/>
          <w:szCs w:val="20"/>
        </w:rPr>
        <w:t xml:space="preserve">. </w:t>
      </w:r>
      <w:r w:rsidRPr="2894FC4D">
        <w:rPr>
          <w:rFonts w:ascii="DeutscheBank" w:hAnsi="DeutscheBank"/>
          <w:sz w:val="20"/>
          <w:szCs w:val="20"/>
        </w:rPr>
        <w:t>Dabei sind drei Punkte besonders wichtig</w:t>
      </w:r>
      <w:r w:rsidR="64320CEF" w:rsidRPr="2894FC4D">
        <w:rPr>
          <w:rFonts w:ascii="DeutscheBank" w:hAnsi="DeutscheBank"/>
          <w:sz w:val="20"/>
          <w:szCs w:val="20"/>
        </w:rPr>
        <w:t>:</w:t>
      </w:r>
    </w:p>
    <w:p w14:paraId="3D294B4B" w14:textId="03318319" w:rsidR="00406BB5" w:rsidRDefault="752CDF76" w:rsidP="00406BB5">
      <w:pPr>
        <w:pStyle w:val="ListParagraph"/>
        <w:numPr>
          <w:ilvl w:val="0"/>
          <w:numId w:val="8"/>
        </w:numPr>
        <w:rPr>
          <w:rFonts w:ascii="DeutscheBank" w:hAnsi="DeutscheBank"/>
          <w:sz w:val="20"/>
          <w:szCs w:val="20"/>
        </w:rPr>
      </w:pPr>
      <w:r w:rsidRPr="2894FC4D">
        <w:rPr>
          <w:rFonts w:ascii="DeutscheBank" w:hAnsi="DeutscheBank"/>
          <w:sz w:val="20"/>
          <w:szCs w:val="20"/>
        </w:rPr>
        <w:t>Die Stichprobe wurde bewusst zusammengestellt, die Befragten nach Hierarchieebene, Unternehmensgröße und vor allem nach dem bestehenden oder geplanten Europa-Engagement ihrer Unternehmen ausgewählt. Die Zielgruppe ist damit auf Unternehmen</w:t>
      </w:r>
      <w:r w:rsidR="00CD7273" w:rsidRPr="2894FC4D" w:rsidDel="752CDF76">
        <w:rPr>
          <w:rFonts w:ascii="DeutscheBank" w:hAnsi="DeutscheBank"/>
          <w:sz w:val="20"/>
          <w:szCs w:val="20"/>
        </w:rPr>
        <w:t xml:space="preserve"> </w:t>
      </w:r>
      <w:r w:rsidRPr="2894FC4D">
        <w:rPr>
          <w:rFonts w:ascii="DeutscheBank" w:hAnsi="DeutscheBank"/>
          <w:sz w:val="20"/>
          <w:szCs w:val="20"/>
        </w:rPr>
        <w:t>ausgerichtet</w:t>
      </w:r>
      <w:r w:rsidR="2E312DF5" w:rsidRPr="2894FC4D">
        <w:rPr>
          <w:rFonts w:ascii="DeutscheBank" w:hAnsi="DeutscheBank"/>
          <w:sz w:val="20"/>
          <w:szCs w:val="20"/>
        </w:rPr>
        <w:t>, die in Europa investiert sind oder es planen</w:t>
      </w:r>
      <w:r w:rsidR="2EC20581" w:rsidRPr="2894FC4D">
        <w:rPr>
          <w:rFonts w:ascii="DeutscheBank" w:hAnsi="DeutscheBank"/>
          <w:sz w:val="20"/>
          <w:szCs w:val="20"/>
        </w:rPr>
        <w:t>.</w:t>
      </w:r>
    </w:p>
    <w:p w14:paraId="4C409847" w14:textId="3E0C03F6" w:rsidR="00406BB5" w:rsidRPr="00406BB5" w:rsidRDefault="008F6D0F" w:rsidP="00406BB5">
      <w:pPr>
        <w:pStyle w:val="ListParagraph"/>
        <w:numPr>
          <w:ilvl w:val="0"/>
          <w:numId w:val="8"/>
        </w:numPr>
        <w:rPr>
          <w:rFonts w:ascii="DeutscheBank" w:hAnsi="DeutscheBank"/>
          <w:sz w:val="20"/>
          <w:szCs w:val="20"/>
        </w:rPr>
      </w:pPr>
      <w:r w:rsidRPr="008F6D0F">
        <w:rPr>
          <w:rFonts w:ascii="DeutscheBank" w:hAnsi="DeutscheBank"/>
          <w:sz w:val="20"/>
          <w:szCs w:val="20"/>
        </w:rPr>
        <w:t>Die untersuchten Wirtschaftsregionen werden nicht vollständig, sondern durch ausgewählte Märkte abgebildet. Die regionalen Ergebnisse beziehen sich auf die untersuchten Märkte und nicht auf einen gesamten Kontinent oder Wirtschaftsraum</w:t>
      </w:r>
      <w:r w:rsidR="0008751D" w:rsidRPr="00406BB5">
        <w:rPr>
          <w:rFonts w:ascii="DeutscheBank" w:hAnsi="DeutscheBank"/>
          <w:sz w:val="20"/>
          <w:szCs w:val="20"/>
        </w:rPr>
        <w:t>.</w:t>
      </w:r>
    </w:p>
    <w:p w14:paraId="00B4BF34" w14:textId="1F204407" w:rsidR="0008751D" w:rsidRPr="00406BB5" w:rsidRDefault="1799E7AA" w:rsidP="00406BB5">
      <w:pPr>
        <w:pStyle w:val="ListParagraph"/>
        <w:numPr>
          <w:ilvl w:val="0"/>
          <w:numId w:val="8"/>
        </w:numPr>
        <w:spacing w:after="150" w:line="288" w:lineRule="auto"/>
        <w:rPr>
          <w:rFonts w:ascii="DeutscheBank" w:hAnsi="DeutscheBank"/>
          <w:sz w:val="20"/>
          <w:szCs w:val="20"/>
        </w:rPr>
      </w:pPr>
      <w:r w:rsidRPr="2894FC4D">
        <w:rPr>
          <w:rFonts w:ascii="DeutscheBank" w:hAnsi="DeutscheBank"/>
          <w:sz w:val="20"/>
          <w:szCs w:val="20"/>
        </w:rPr>
        <w:t>Größere Unternehmen sind überproportional vertreten, die Ergebnisse sind nicht gewichtet. Rund 71 Prozent der Befragten stammen aus Unternehmen mit mindestens 500 Beschäftigten.</w:t>
      </w:r>
    </w:p>
    <w:p w14:paraId="6C22EE0E" w14:textId="1377620F" w:rsidR="39D18E92" w:rsidRDefault="2A39C154" w:rsidP="499D18D5">
      <w:pPr>
        <w:spacing w:after="150" w:line="288" w:lineRule="auto"/>
      </w:pPr>
      <w:r w:rsidRPr="2894FC4D">
        <w:rPr>
          <w:rFonts w:ascii="DeutscheBank" w:hAnsi="DeutscheBank"/>
          <w:sz w:val="20"/>
          <w:szCs w:val="20"/>
        </w:rPr>
        <w:t>Unter Berücksichtigung dieser Punkte liefern die Daten ein belastbares Bild</w:t>
      </w:r>
      <w:r w:rsidR="7FC8EE4B" w:rsidRPr="2894FC4D">
        <w:rPr>
          <w:rFonts w:ascii="DeutscheBank" w:hAnsi="DeutscheBank"/>
          <w:sz w:val="20"/>
          <w:szCs w:val="20"/>
        </w:rPr>
        <w:t xml:space="preserve">, wie internationale Investoren Europa sehen. </w:t>
      </w:r>
      <w:r w:rsidRPr="2894FC4D">
        <w:rPr>
          <w:rFonts w:ascii="DeutscheBank" w:hAnsi="DeutscheBank"/>
          <w:sz w:val="20"/>
          <w:szCs w:val="20"/>
        </w:rPr>
        <w:t>Sofern nicht anders angegeben, beziehen sich alle Ergebnisse auf die Gesamtheit der 1.200 Befragten. Für die Gesamtstichprobe liegt das 95-Prozent-Konfidenzintervall bei etwa plus/minus drei Prozentpunkten</w:t>
      </w:r>
      <w:r w:rsidR="5EF9BFA7" w:rsidRPr="2894FC4D">
        <w:rPr>
          <w:rFonts w:ascii="DeutscheBank" w:hAnsi="DeutscheBank"/>
          <w:sz w:val="20"/>
          <w:szCs w:val="20"/>
        </w:rPr>
        <w:t>.</w:t>
      </w:r>
    </w:p>
    <w:p w14:paraId="735568EA" w14:textId="77777777" w:rsidR="00B407C2" w:rsidRPr="00117910" w:rsidRDefault="00B407C2" w:rsidP="00B407C2">
      <w:pPr>
        <w:pStyle w:val="Heading2"/>
        <w:numPr>
          <w:ilvl w:val="0"/>
          <w:numId w:val="0"/>
        </w:numPr>
        <w:ind w:left="576"/>
      </w:pPr>
      <w:bookmarkStart w:id="4" w:name="_Toc239930522"/>
    </w:p>
    <w:p w14:paraId="05413B14" w14:textId="77777777" w:rsidR="002D24AB" w:rsidRPr="00117910" w:rsidRDefault="002D24AB" w:rsidP="002D24AB"/>
    <w:p w14:paraId="0F4667C5" w14:textId="77777777" w:rsidR="002D24AB" w:rsidRPr="00117910" w:rsidRDefault="002D24AB" w:rsidP="002D24AB"/>
    <w:p w14:paraId="354096D4" w14:textId="77777777" w:rsidR="002D24AB" w:rsidRPr="00117910" w:rsidRDefault="002D24AB" w:rsidP="002D24AB"/>
    <w:p w14:paraId="6085CAF0" w14:textId="5DEBF43E" w:rsidR="006C59B1" w:rsidRDefault="006C59B1" w:rsidP="00C01333">
      <w:pPr>
        <w:pStyle w:val="Heading1"/>
        <w:pageBreakBefore/>
        <w:numPr>
          <w:ilvl w:val="0"/>
          <w:numId w:val="12"/>
        </w:numPr>
        <w:rPr>
          <w:rFonts w:ascii="DeutscheBank" w:hAnsi="DeutscheBank"/>
          <w:sz w:val="28"/>
          <w:szCs w:val="28"/>
        </w:rPr>
      </w:pPr>
      <w:bookmarkStart w:id="5" w:name="_Toc240632246"/>
      <w:bookmarkEnd w:id="4"/>
      <w:r w:rsidRPr="00422D16">
        <w:rPr>
          <w:rFonts w:ascii="DeutscheBank" w:hAnsi="DeutscheBank"/>
          <w:sz w:val="28"/>
          <w:szCs w:val="28"/>
        </w:rPr>
        <w:lastRenderedPageBreak/>
        <w:t>Europa überzeugt als Investitionsstandort</w:t>
      </w:r>
      <w:bookmarkEnd w:id="5"/>
    </w:p>
    <w:p w14:paraId="4F84FE98" w14:textId="75F954CD" w:rsidR="0008751D" w:rsidRPr="00557151" w:rsidRDefault="660ED724" w:rsidP="2894FC4D">
      <w:pPr>
        <w:spacing w:after="150" w:line="288" w:lineRule="auto"/>
        <w:rPr>
          <w:rFonts w:ascii="DeutscheBank" w:hAnsi="DeutscheBank"/>
          <w:sz w:val="20"/>
          <w:szCs w:val="20"/>
        </w:rPr>
      </w:pPr>
      <w:r w:rsidRPr="2894FC4D">
        <w:rPr>
          <w:rFonts w:ascii="DeutscheBank" w:hAnsi="DeutscheBank"/>
          <w:sz w:val="20"/>
          <w:szCs w:val="20"/>
        </w:rPr>
        <w:t xml:space="preserve">Die im Rahmen dieser Studie befragten Führungskräfte beschreiben Europa als einen attraktiven Investitionsstandort, dessen Bedeutung wächst und der insbesondere für seine Stabilität geschätzt wird. </w:t>
      </w:r>
      <w:r w:rsidR="00557151" w:rsidRPr="00557151" w:rsidDel="00047CFD">
        <w:rPr>
          <w:rFonts w:ascii="DeutscheBank" w:hAnsi="DeutscheBank"/>
          <w:sz w:val="20"/>
          <w:szCs w:val="20"/>
        </w:rPr>
        <w:t>Dieses Kapitel zeigt</w:t>
      </w:r>
      <w:r w:rsidR="00557151" w:rsidRPr="00557151" w:rsidDel="00110E33">
        <w:rPr>
          <w:rFonts w:ascii="DeutscheBank" w:hAnsi="DeutscheBank"/>
          <w:sz w:val="20"/>
          <w:szCs w:val="20"/>
        </w:rPr>
        <w:t xml:space="preserve">, </w:t>
      </w:r>
      <w:r w:rsidR="00557151" w:rsidRPr="00557151" w:rsidDel="00047CFD">
        <w:rPr>
          <w:rFonts w:ascii="DeutscheBank" w:hAnsi="DeutscheBank"/>
          <w:sz w:val="20"/>
          <w:szCs w:val="20"/>
        </w:rPr>
        <w:t xml:space="preserve">worauf </w:t>
      </w:r>
      <w:r w:rsidR="00557151" w:rsidRPr="00557151" w:rsidDel="00110E33">
        <w:rPr>
          <w:rFonts w:ascii="DeutscheBank" w:hAnsi="DeutscheBank"/>
          <w:sz w:val="20"/>
          <w:szCs w:val="20"/>
        </w:rPr>
        <w:t xml:space="preserve">dieses </w:t>
      </w:r>
      <w:r w:rsidR="00557151" w:rsidRPr="00557151" w:rsidDel="00047CFD">
        <w:rPr>
          <w:rFonts w:ascii="DeutscheBank" w:hAnsi="DeutscheBank"/>
          <w:sz w:val="20"/>
          <w:szCs w:val="20"/>
        </w:rPr>
        <w:t>Vertrauen basiert</w:t>
      </w:r>
      <w:r w:rsidR="0008751D" w:rsidRPr="00557151" w:rsidDel="00047CFD">
        <w:rPr>
          <w:rFonts w:ascii="DeutscheBank" w:hAnsi="DeutscheBank"/>
          <w:sz w:val="20"/>
          <w:szCs w:val="20"/>
        </w:rPr>
        <w:t xml:space="preserve">. </w:t>
      </w:r>
    </w:p>
    <w:p w14:paraId="3C27E0C4" w14:textId="21F3B1D1" w:rsidR="0008751D" w:rsidRPr="00264193" w:rsidRDefault="0008751D" w:rsidP="0008751D">
      <w:pPr>
        <w:spacing w:before="40" w:after="90"/>
        <w:jc w:val="both"/>
        <w:rPr>
          <w:rFonts w:ascii="DeutscheBank" w:hAnsi="DeutscheBank"/>
        </w:rPr>
      </w:pPr>
      <w:r w:rsidRPr="00264193">
        <w:rPr>
          <w:rFonts w:ascii="DeutscheBank" w:hAnsi="DeutscheBank"/>
          <w:b/>
          <w:caps/>
          <w:color w:val="5A6472"/>
          <w:sz w:val="18"/>
          <w:szCs w:val="18"/>
        </w:rPr>
        <w:t>A</w:t>
      </w:r>
      <w:r w:rsidR="0026000A" w:rsidRPr="00264193">
        <w:rPr>
          <w:rFonts w:ascii="DeutscheBank" w:hAnsi="DeutscheBank"/>
          <w:b/>
          <w:caps/>
          <w:color w:val="5A6472"/>
          <w:sz w:val="18"/>
          <w:szCs w:val="18"/>
        </w:rPr>
        <w:t>UF EINEN BLICK</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69"/>
        <w:gridCol w:w="3119"/>
        <w:gridCol w:w="2976"/>
      </w:tblGrid>
      <w:tr w:rsidR="00AB4B46" w:rsidRPr="009A1DAA" w14:paraId="7F70015C" w14:textId="77777777" w:rsidTr="002A1AD6">
        <w:tc>
          <w:tcPr>
            <w:tcW w:w="29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0E686FC" w14:textId="77777777" w:rsidR="00AB4B46" w:rsidRPr="002B2F85" w:rsidRDefault="00AB4B46" w:rsidP="009C2716">
            <w:pPr>
              <w:spacing w:after="40"/>
              <w:jc w:val="both"/>
              <w:rPr>
                <w:rFonts w:ascii="DeutscheBank" w:hAnsi="DeutscheBank"/>
              </w:rPr>
            </w:pPr>
            <w:r w:rsidRPr="4C8A12E0">
              <w:rPr>
                <w:rFonts w:ascii="DeutscheBank" w:hAnsi="DeutscheBank"/>
                <w:b/>
                <w:color w:val="0069B1" w:themeColor="accent2"/>
                <w:sz w:val="30"/>
                <w:szCs w:val="30"/>
              </w:rPr>
              <w:t>90%</w:t>
            </w:r>
          </w:p>
          <w:p w14:paraId="06D54BD7" w14:textId="71169894" w:rsidR="00AB4B46" w:rsidRPr="002B2F85" w:rsidRDefault="00AB4B46" w:rsidP="003935BE">
            <w:pPr>
              <w:rPr>
                <w:rFonts w:ascii="DeutscheBank" w:hAnsi="DeutscheBank"/>
              </w:rPr>
            </w:pPr>
            <w:r w:rsidRPr="002B2F85">
              <w:rPr>
                <w:rFonts w:ascii="DeutscheBank" w:hAnsi="DeutscheBank"/>
                <w:color w:val="5A6472"/>
                <w:sz w:val="16"/>
                <w:szCs w:val="16"/>
              </w:rPr>
              <w:t>zählen Europa zu ihren Top-3-Regionen</w:t>
            </w:r>
          </w:p>
        </w:tc>
        <w:tc>
          <w:tcPr>
            <w:tcW w:w="311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3FCB25DC" w14:textId="77777777" w:rsidR="00AB4B46" w:rsidRPr="000E3D12" w:rsidRDefault="00AB4B46" w:rsidP="009C2716">
            <w:pPr>
              <w:spacing w:after="40"/>
              <w:jc w:val="both"/>
              <w:rPr>
                <w:rFonts w:ascii="DeutscheBank" w:hAnsi="DeutscheBank"/>
              </w:rPr>
            </w:pPr>
            <w:r w:rsidRPr="1DC6F10A">
              <w:rPr>
                <w:rFonts w:ascii="DeutscheBank" w:hAnsi="DeutscheBank"/>
                <w:b/>
                <w:color w:val="0069B1" w:themeColor="accent2"/>
                <w:sz w:val="30"/>
                <w:szCs w:val="30"/>
              </w:rPr>
              <w:t>35%</w:t>
            </w:r>
          </w:p>
          <w:p w14:paraId="6F784FF2" w14:textId="3ABBD775" w:rsidR="00AB4B46" w:rsidRPr="00C36F7C" w:rsidRDefault="00AB4B46" w:rsidP="00C36F7C">
            <w:pPr>
              <w:rPr>
                <w:rFonts w:ascii="DeutscheBank" w:hAnsi="DeutscheBank"/>
              </w:rPr>
            </w:pPr>
            <w:r>
              <w:rPr>
                <w:rFonts w:ascii="DeutscheBank" w:hAnsi="DeutscheBank"/>
                <w:color w:val="5A6472"/>
                <w:sz w:val="16"/>
                <w:szCs w:val="16"/>
              </w:rPr>
              <w:t>s</w:t>
            </w:r>
            <w:r w:rsidRPr="00C36F7C">
              <w:rPr>
                <w:rFonts w:ascii="DeutscheBank" w:hAnsi="DeutscheBank"/>
                <w:color w:val="5A6472"/>
                <w:sz w:val="16"/>
                <w:szCs w:val="16"/>
              </w:rPr>
              <w:t>tufen</w:t>
            </w:r>
            <w:r>
              <w:rPr>
                <w:rFonts w:ascii="DeutscheBank" w:hAnsi="DeutscheBank"/>
                <w:color w:val="5A6472"/>
                <w:sz w:val="16"/>
                <w:szCs w:val="16"/>
              </w:rPr>
              <w:t xml:space="preserve"> </w:t>
            </w:r>
            <w:r w:rsidRPr="00C36F7C">
              <w:rPr>
                <w:rFonts w:ascii="DeutscheBank" w:hAnsi="DeutscheBank"/>
                <w:color w:val="5A6472"/>
                <w:sz w:val="16"/>
                <w:szCs w:val="16"/>
              </w:rPr>
              <w:t xml:space="preserve">Europa als die attraktivste </w:t>
            </w:r>
            <w:r w:rsidR="0047078F">
              <w:rPr>
                <w:rFonts w:ascii="DeutscheBank" w:hAnsi="DeutscheBank"/>
                <w:color w:val="5A6472"/>
                <w:sz w:val="16"/>
                <w:szCs w:val="16"/>
              </w:rPr>
              <w:t>Investitionsre</w:t>
            </w:r>
            <w:r w:rsidR="0047078F" w:rsidRPr="00C36F7C">
              <w:rPr>
                <w:rFonts w:ascii="DeutscheBank" w:hAnsi="DeutscheBank"/>
                <w:color w:val="5A6472"/>
                <w:sz w:val="16"/>
                <w:szCs w:val="16"/>
              </w:rPr>
              <w:t>gion</w:t>
            </w:r>
            <w:r w:rsidRPr="00C36F7C">
              <w:rPr>
                <w:rFonts w:ascii="DeutscheBank" w:hAnsi="DeutscheBank"/>
                <w:color w:val="5A6472"/>
                <w:sz w:val="16"/>
                <w:szCs w:val="16"/>
              </w:rPr>
              <w:t xml:space="preserve"> ein</w:t>
            </w:r>
          </w:p>
        </w:tc>
        <w:tc>
          <w:tcPr>
            <w:tcW w:w="2976"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759FEDBF" w14:textId="77777777" w:rsidR="00AB4B46" w:rsidRPr="000E3D12" w:rsidRDefault="00AB4B46" w:rsidP="009C2716">
            <w:pPr>
              <w:spacing w:after="40"/>
              <w:jc w:val="both"/>
              <w:rPr>
                <w:rFonts w:ascii="DeutscheBank" w:hAnsi="DeutscheBank"/>
              </w:rPr>
            </w:pPr>
            <w:r w:rsidRPr="000E3D12">
              <w:rPr>
                <w:rFonts w:ascii="DeutscheBank" w:hAnsi="DeutscheBank"/>
                <w:b/>
                <w:bCs/>
                <w:color w:val="0069B1"/>
                <w:sz w:val="30"/>
                <w:szCs w:val="30"/>
              </w:rPr>
              <w:t>81%</w:t>
            </w:r>
          </w:p>
          <w:p w14:paraId="1370BBE4" w14:textId="655517DB" w:rsidR="00AB4B46" w:rsidRPr="00C356EE" w:rsidRDefault="00AB4B46" w:rsidP="00C356EE">
            <w:pPr>
              <w:rPr>
                <w:rFonts w:ascii="DeutscheBank" w:hAnsi="DeutscheBank"/>
              </w:rPr>
            </w:pPr>
            <w:r w:rsidRPr="2894FC4D">
              <w:rPr>
                <w:rFonts w:ascii="DeutscheBank" w:hAnsi="DeutscheBank"/>
                <w:color w:val="5A6472"/>
                <w:sz w:val="16"/>
                <w:szCs w:val="16"/>
              </w:rPr>
              <w:t xml:space="preserve">geben an, dass Europa in den vergangenen drei Jahren wichtiger für sie </w:t>
            </w:r>
            <w:r w:rsidRPr="1A067142">
              <w:rPr>
                <w:rFonts w:ascii="DeutscheBank" w:hAnsi="DeutscheBank"/>
                <w:color w:val="5A6472"/>
                <w:sz w:val="16"/>
                <w:szCs w:val="16"/>
              </w:rPr>
              <w:t>geworden</w:t>
            </w:r>
            <w:r w:rsidRPr="00C356EE">
              <w:rPr>
                <w:rFonts w:ascii="DeutscheBank" w:hAnsi="DeutscheBank"/>
                <w:color w:val="5A6472"/>
                <w:sz w:val="16"/>
                <w:szCs w:val="16"/>
              </w:rPr>
              <w:t xml:space="preserve"> </w:t>
            </w:r>
            <w:proofErr w:type="gramStart"/>
            <w:r w:rsidRPr="5822115C">
              <w:rPr>
                <w:rFonts w:ascii="DeutscheBank" w:hAnsi="DeutscheBank"/>
                <w:color w:val="5A6472"/>
                <w:sz w:val="16"/>
                <w:szCs w:val="16"/>
              </w:rPr>
              <w:t>ist</w:t>
            </w:r>
            <w:proofErr w:type="gramEnd"/>
          </w:p>
        </w:tc>
      </w:tr>
    </w:tbl>
    <w:p w14:paraId="06F1177E" w14:textId="77777777" w:rsidR="0008751D" w:rsidRPr="0057073C" w:rsidRDefault="0008751D" w:rsidP="0008751D">
      <w:pPr>
        <w:spacing w:after="80"/>
        <w:jc w:val="both"/>
        <w:rPr>
          <w:rFonts w:ascii="DeutscheBank" w:hAnsi="DeutscheBank"/>
        </w:rPr>
      </w:pPr>
    </w:p>
    <w:p w14:paraId="6A1EF3FE" w14:textId="3905BF7E" w:rsidR="0008751D" w:rsidRPr="00190875" w:rsidRDefault="00190875" w:rsidP="00AA76E2">
      <w:pPr>
        <w:pStyle w:val="Heading2"/>
        <w:rPr>
          <w:rFonts w:ascii="DeutscheBank" w:hAnsi="DeutscheBank"/>
          <w:color w:val="auto"/>
          <w:sz w:val="20"/>
          <w:szCs w:val="20"/>
        </w:rPr>
      </w:pPr>
      <w:r w:rsidRPr="00190875">
        <w:rPr>
          <w:rFonts w:ascii="DeutscheBank" w:hAnsi="DeutscheBank"/>
          <w:color w:val="auto"/>
          <w:sz w:val="20"/>
          <w:szCs w:val="20"/>
        </w:rPr>
        <w:t>Die weltweit bevorzugteste Region</w:t>
      </w:r>
    </w:p>
    <w:p w14:paraId="5DCE280A" w14:textId="6BA1DBF0" w:rsidR="00373901" w:rsidRPr="00373901" w:rsidRDefault="00373901" w:rsidP="00373901">
      <w:pPr>
        <w:spacing w:after="150" w:line="288" w:lineRule="auto"/>
        <w:rPr>
          <w:rFonts w:ascii="DeutscheBank" w:hAnsi="DeutscheBank"/>
          <w:sz w:val="20"/>
          <w:szCs w:val="20"/>
        </w:rPr>
      </w:pPr>
      <w:r w:rsidRPr="00373901">
        <w:rPr>
          <w:rFonts w:ascii="DeutscheBank" w:hAnsi="DeutscheBank"/>
          <w:sz w:val="20"/>
          <w:szCs w:val="20"/>
        </w:rPr>
        <w:t xml:space="preserve">Die Ausgangslage ist eindeutig: Rund neun von zehn Befragten zählen Europa zu den drei attraktivsten Regionen für Investitionen. Damit liegt Europa vor </w:t>
      </w:r>
      <w:r w:rsidR="0205AFD6" w:rsidRPr="43813E7F">
        <w:rPr>
          <w:rFonts w:ascii="DeutscheBank" w:hAnsi="DeutscheBank"/>
          <w:sz w:val="20"/>
          <w:szCs w:val="20"/>
        </w:rPr>
        <w:t>Norda</w:t>
      </w:r>
      <w:r w:rsidRPr="00373901">
        <w:rPr>
          <w:rFonts w:ascii="DeutscheBank" w:hAnsi="DeutscheBank"/>
          <w:sz w:val="20"/>
          <w:szCs w:val="20"/>
        </w:rPr>
        <w:t>merika mit rund 69 Prozent und der Region Asien-Pazifik ohne China mit rund 56 Prozent. Es folgen deutlich dahinter: der Nahe Osten (32 Prozent)</w:t>
      </w:r>
      <w:r w:rsidR="007E6484">
        <w:rPr>
          <w:rFonts w:ascii="DeutscheBank" w:hAnsi="DeutscheBank"/>
          <w:sz w:val="20"/>
          <w:szCs w:val="20"/>
        </w:rPr>
        <w:t xml:space="preserve">, </w:t>
      </w:r>
      <w:r w:rsidR="007E6484" w:rsidRPr="00373901">
        <w:rPr>
          <w:rFonts w:ascii="DeutscheBank" w:hAnsi="DeutscheBank"/>
          <w:sz w:val="20"/>
          <w:szCs w:val="20"/>
        </w:rPr>
        <w:t>China (30 Prozent</w:t>
      </w:r>
      <w:r w:rsidRPr="00373901">
        <w:rPr>
          <w:rFonts w:ascii="DeutscheBank" w:hAnsi="DeutscheBank"/>
          <w:sz w:val="20"/>
          <w:szCs w:val="20"/>
        </w:rPr>
        <w:t>) und Lateinamerika (24 Prozent). Europa ist die einzige Region, die von fast allen Befragten hoch bewertet wird. Das macht Europa zu einem natürlichen Anker für global diversifizierte Investoren.</w:t>
      </w:r>
    </w:p>
    <w:p w14:paraId="08FF1DA9" w14:textId="5988BB4E" w:rsidR="0008751D" w:rsidRDefault="0273461D" w:rsidP="2894FC4D">
      <w:pPr>
        <w:spacing w:after="150" w:line="288" w:lineRule="auto"/>
        <w:rPr>
          <w:rFonts w:ascii="DeutscheBank" w:hAnsi="DeutscheBank"/>
          <w:sz w:val="20"/>
          <w:szCs w:val="20"/>
        </w:rPr>
      </w:pPr>
      <w:r w:rsidRPr="2894FC4D">
        <w:rPr>
          <w:rFonts w:ascii="DeutscheBank" w:hAnsi="DeutscheBank"/>
          <w:sz w:val="20"/>
          <w:szCs w:val="20"/>
        </w:rPr>
        <w:t xml:space="preserve">Diese Anziehungskraft beschränkt sich nicht auf eine bestimmte Investorengruppe. Sie zeigt sich in allen befragten Regionen: In Asien-Pazifik, im Nahen Osten und in Amerika wählen jeweils rund 90 Prozent der Entscheidungsträger Europa unter ihre drei wichtigsten Regionen. Das Bild bestätigt sich auch über verschiedene Investitionsphasen hinweg: Unternehmen, die bereits in Europa investieren, zählen die Region </w:t>
      </w:r>
      <w:r w:rsidR="4B8E55D2" w:rsidRPr="2894FC4D">
        <w:rPr>
          <w:rFonts w:ascii="DeutscheBank" w:hAnsi="DeutscheBank"/>
          <w:sz w:val="20"/>
          <w:szCs w:val="20"/>
        </w:rPr>
        <w:t xml:space="preserve">lediglich </w:t>
      </w:r>
      <w:r w:rsidRPr="2894FC4D">
        <w:rPr>
          <w:rFonts w:ascii="DeutscheBank" w:hAnsi="DeutscheBank"/>
          <w:sz w:val="20"/>
          <w:szCs w:val="20"/>
        </w:rPr>
        <w:t xml:space="preserve">etwas häufiger zu ihren Top 3 (92 Prozent) als Unternehmen, die einen Markteintritt noch planen (86 Prozent). </w:t>
      </w:r>
    </w:p>
    <w:p w14:paraId="29AA4366" w14:textId="2BB0E4F1" w:rsidR="0008751D" w:rsidRPr="00E0678F" w:rsidRDefault="00112B22" w:rsidP="0008751D">
      <w:pPr>
        <w:pStyle w:val="Caption"/>
        <w:rPr>
          <w:rFonts w:ascii="DeutscheBank" w:eastAsia="Arial" w:hAnsi="DeutscheBank" w:cs="Arial"/>
          <w:bCs/>
          <w:iCs w:val="0"/>
          <w:szCs w:val="20"/>
          <w:lang w:val="de-DE" w:eastAsia="de-DE"/>
          <w14:ligatures w14:val="none"/>
        </w:rPr>
      </w:pPr>
      <w:r w:rsidRPr="00E0678F">
        <w:rPr>
          <w:rFonts w:ascii="DeutscheBank" w:eastAsia="Arial" w:hAnsi="DeutscheBank" w:cs="Arial"/>
          <w:bCs/>
          <w:iCs w:val="0"/>
          <w:szCs w:val="20"/>
          <w:lang w:val="de-DE" w:eastAsia="de-DE"/>
          <w14:ligatures w14:val="none"/>
        </w:rPr>
        <w:t>Abbildung</w:t>
      </w:r>
      <w:r w:rsidR="0008751D" w:rsidRPr="00E0678F">
        <w:rPr>
          <w:rFonts w:ascii="DeutscheBank" w:eastAsia="Arial" w:hAnsi="DeutscheBank" w:cs="Arial"/>
          <w:bCs/>
          <w:iCs w:val="0"/>
          <w:szCs w:val="20"/>
          <w:lang w:val="de-DE" w:eastAsia="de-DE"/>
          <w14:ligatures w14:val="none"/>
        </w:rPr>
        <w:t xml:space="preserve"> 1: Attra</w:t>
      </w:r>
      <w:r w:rsidRPr="00E0678F">
        <w:rPr>
          <w:rFonts w:ascii="DeutscheBank" w:eastAsia="Arial" w:hAnsi="DeutscheBank" w:cs="Arial"/>
          <w:bCs/>
          <w:iCs w:val="0"/>
          <w:szCs w:val="20"/>
          <w:lang w:val="de-DE" w:eastAsia="de-DE"/>
          <w14:ligatures w14:val="none"/>
        </w:rPr>
        <w:t>ktivität der Regionen</w:t>
      </w:r>
      <w:r w:rsidR="0008751D" w:rsidRPr="00E0678F">
        <w:rPr>
          <w:rFonts w:ascii="DeutscheBank" w:eastAsia="Arial" w:hAnsi="DeutscheBank" w:cs="Arial"/>
          <w:bCs/>
          <w:iCs w:val="0"/>
          <w:szCs w:val="20"/>
          <w:lang w:val="de-DE" w:eastAsia="de-DE"/>
          <w14:ligatures w14:val="none"/>
        </w:rPr>
        <w:t xml:space="preserve"> (Top 3)</w:t>
      </w:r>
    </w:p>
    <w:p w14:paraId="03E87195" w14:textId="47A63D03" w:rsidR="0008751D" w:rsidRPr="003935BE" w:rsidRDefault="00E0678F" w:rsidP="0008751D">
      <w:pPr>
        <w:pStyle w:val="Copy"/>
        <w:rPr>
          <w:rFonts w:ascii="DeutscheBank" w:eastAsia="Arial" w:hAnsi="DeutscheBank" w:cs="Arial"/>
          <w:color w:val="222222"/>
          <w:lang w:val="de-DE" w:eastAsia="de-DE"/>
          <w14:ligatures w14:val="none"/>
        </w:rPr>
      </w:pPr>
      <w:r w:rsidRPr="003935BE">
        <w:rPr>
          <w:rFonts w:ascii="DeutscheBank" w:eastAsia="Arial" w:hAnsi="DeutscheBank" w:cs="Arial"/>
          <w:color w:val="222222"/>
          <w:lang w:val="de-DE" w:eastAsia="de-DE"/>
          <w14:ligatures w14:val="none"/>
        </w:rPr>
        <w:t>Anteil der Befragten, die die jeweilige Region zu einer ihrer drei attraktivsten Investitionsregionen zählen (</w:t>
      </w:r>
      <w:r w:rsidR="31B962C9" w:rsidRPr="003935BE">
        <w:rPr>
          <w:rFonts w:ascii="DeutscheBank" w:eastAsia="Arial" w:hAnsi="DeutscheBank" w:cs="Arial"/>
          <w:color w:val="222222"/>
          <w:lang w:val="de-DE" w:eastAsia="de-DE"/>
        </w:rPr>
        <w:t>alle Befragte</w:t>
      </w:r>
      <w:r w:rsidRPr="003935BE">
        <w:rPr>
          <w:rFonts w:ascii="DeutscheBank" w:eastAsia="Arial" w:hAnsi="DeutscheBank" w:cs="Arial"/>
          <w:color w:val="222222"/>
          <w:lang w:val="de-DE" w:eastAsia="de-DE"/>
        </w:rPr>
        <w:t xml:space="preserve"> und nach Investitionsstatus</w:t>
      </w:r>
      <w:r w:rsidR="0008751D" w:rsidRPr="003935BE">
        <w:rPr>
          <w:rFonts w:ascii="DeutscheBank" w:eastAsia="Arial" w:hAnsi="DeutscheBank" w:cs="Arial"/>
          <w:color w:val="222222"/>
          <w:lang w:val="de-DE" w:eastAsia="de-DE"/>
        </w:rPr>
        <w:t>)</w:t>
      </w:r>
    </w:p>
    <w:p w14:paraId="51C97A0C" w14:textId="103F7FD4" w:rsidR="00232AFB" w:rsidRPr="00232AFB" w:rsidRDefault="00232AFB" w:rsidP="00232AFB">
      <w:pPr>
        <w:keepNext/>
        <w:spacing w:before="140" w:after="40"/>
        <w:jc w:val="center"/>
        <w:rPr>
          <w:rFonts w:ascii="DeutscheBank" w:hAnsi="DeutscheBank"/>
        </w:rPr>
      </w:pPr>
      <w:r w:rsidRPr="00232AFB">
        <w:rPr>
          <w:rFonts w:ascii="DeutscheBank" w:hAnsi="DeutscheBank"/>
          <w:noProof/>
        </w:rPr>
        <w:drawing>
          <wp:inline distT="0" distB="0" distL="0" distR="0" wp14:anchorId="14B07D74" wp14:editId="2C01FD48">
            <wp:extent cx="3937404" cy="2668772"/>
            <wp:effectExtent l="0" t="0" r="6350" b="0"/>
            <wp:docPr id="149723458" name="Grafik 8" descr="Horizontales Balkendiagramm vergleicht regionale Anteile nach Gesamt, bereits in Europa investiert sowie noch nicht investiert, aber geplant. Europa erreicht 90 %, 92 % und 86 %, während APAC ohne China mit 68 % beim geplanten Investment hervorsticht; LATAM mit 21% ist hier der  geringste Wert; blaue Farbtöne kennzeichnen drei Kategor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23458" name="Grafik 8" descr="Horizontales Balkendiagramm vergleicht regionale Anteile nach Gesamt, bereits in Europa investiert sowie noch nicht investiert, aber geplant. Europa erreicht 90 %, 92 % und 86 %, während APAC ohne China mit 68 % beim geplanten Investment hervorsticht; LATAM mit 21% ist hier der  geringste Wert; blaue Farbtöne kennzeichnen drei Kategorie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4361" cy="2687043"/>
                    </a:xfrm>
                    <a:prstGeom prst="rect">
                      <a:avLst/>
                    </a:prstGeom>
                    <a:noFill/>
                    <a:ln>
                      <a:noFill/>
                    </a:ln>
                  </pic:spPr>
                </pic:pic>
              </a:graphicData>
            </a:graphic>
          </wp:inline>
        </w:drawing>
      </w:r>
    </w:p>
    <w:p w14:paraId="075A0639" w14:textId="305C30BF" w:rsidR="0008751D" w:rsidRPr="00CE2073" w:rsidRDefault="0008751D" w:rsidP="008352C1">
      <w:pPr>
        <w:keepNext/>
        <w:spacing w:before="140" w:after="40"/>
        <w:rPr>
          <w:rFonts w:ascii="DeutscheBank" w:hAnsi="DeutscheBank"/>
          <w:lang w:val="en-US"/>
        </w:rPr>
      </w:pPr>
    </w:p>
    <w:p w14:paraId="218D93B3" w14:textId="4E1D63B3" w:rsidR="0008751D" w:rsidRDefault="00E63901" w:rsidP="0008751D">
      <w:pPr>
        <w:spacing w:after="180"/>
        <w:jc w:val="both"/>
        <w:rPr>
          <w:rFonts w:ascii="DeutscheBank" w:hAnsi="DeutscheBank"/>
          <w:color w:val="000000" w:themeColor="text1"/>
          <w:sz w:val="16"/>
          <w:szCs w:val="16"/>
        </w:rPr>
      </w:pPr>
      <w:r w:rsidRPr="00E6707A">
        <w:rPr>
          <w:rFonts w:ascii="DeutscheBank" w:hAnsi="DeutscheBank"/>
          <w:b/>
          <w:color w:val="000000" w:themeColor="text1"/>
          <w:sz w:val="16"/>
          <w:szCs w:val="16"/>
        </w:rPr>
        <w:t>Quelle</w:t>
      </w:r>
      <w:r w:rsidR="0008751D" w:rsidRPr="00E6707A">
        <w:rPr>
          <w:rFonts w:ascii="DeutscheBank" w:hAnsi="DeutscheBank"/>
          <w:b/>
          <w:color w:val="000000" w:themeColor="text1"/>
          <w:sz w:val="16"/>
          <w:szCs w:val="16"/>
        </w:rPr>
        <w:t xml:space="preserve">: </w:t>
      </w:r>
      <w:r w:rsidR="0008751D" w:rsidRPr="00E6707A">
        <w:rPr>
          <w:rFonts w:ascii="DeutscheBank" w:hAnsi="DeutscheBank"/>
          <w:color w:val="000000" w:themeColor="text1"/>
          <w:sz w:val="16"/>
          <w:szCs w:val="16"/>
        </w:rPr>
        <w:t xml:space="preserve">Global Sentiment Survey on Europe 2026, B2B online </w:t>
      </w:r>
      <w:r w:rsidRPr="00E6707A">
        <w:rPr>
          <w:rFonts w:ascii="DeutscheBank" w:hAnsi="DeutscheBank"/>
          <w:color w:val="000000" w:themeColor="text1"/>
          <w:sz w:val="16"/>
          <w:szCs w:val="16"/>
        </w:rPr>
        <w:t>Studie</w:t>
      </w:r>
      <w:r w:rsidR="0008751D" w:rsidRPr="00E6707A">
        <w:rPr>
          <w:rFonts w:ascii="DeutscheBank" w:hAnsi="DeutscheBank"/>
          <w:color w:val="000000" w:themeColor="text1"/>
          <w:sz w:val="16"/>
          <w:szCs w:val="16"/>
        </w:rPr>
        <w:t xml:space="preserve">. </w:t>
      </w:r>
      <w:r w:rsidR="0008751D" w:rsidRPr="00941D04">
        <w:rPr>
          <w:rFonts w:ascii="DeutscheBank" w:hAnsi="DeutscheBank"/>
          <w:color w:val="000000" w:themeColor="text1"/>
          <w:sz w:val="16"/>
          <w:szCs w:val="16"/>
        </w:rPr>
        <w:t>Bas</w:t>
      </w:r>
      <w:r w:rsidRPr="00941D04">
        <w:rPr>
          <w:rFonts w:ascii="DeutscheBank" w:hAnsi="DeutscheBank"/>
          <w:color w:val="000000" w:themeColor="text1"/>
          <w:sz w:val="16"/>
          <w:szCs w:val="16"/>
        </w:rPr>
        <w:t>is</w:t>
      </w:r>
      <w:r w:rsidR="0008751D" w:rsidRPr="00941D04">
        <w:rPr>
          <w:rFonts w:ascii="DeutscheBank" w:hAnsi="DeutscheBank"/>
          <w:b/>
          <w:bCs/>
          <w:color w:val="000000" w:themeColor="text1"/>
          <w:sz w:val="16"/>
          <w:szCs w:val="16"/>
        </w:rPr>
        <w:t>:</w:t>
      </w:r>
      <w:r w:rsidR="0008751D" w:rsidRPr="00941D04">
        <w:rPr>
          <w:rFonts w:ascii="DeutscheBank" w:hAnsi="DeutscheBank"/>
          <w:color w:val="000000" w:themeColor="text1"/>
          <w:sz w:val="16"/>
          <w:szCs w:val="16"/>
        </w:rPr>
        <w:t xml:space="preserve"> n = 1,200 (</w:t>
      </w:r>
      <w:r w:rsidRPr="00941D04">
        <w:rPr>
          <w:rFonts w:ascii="DeutscheBank" w:hAnsi="DeutscheBank"/>
          <w:color w:val="000000" w:themeColor="text1"/>
          <w:sz w:val="16"/>
          <w:szCs w:val="16"/>
        </w:rPr>
        <w:t>bereits</w:t>
      </w:r>
      <w:r w:rsidR="0008751D" w:rsidRPr="00941D04">
        <w:rPr>
          <w:rFonts w:ascii="DeutscheBank" w:hAnsi="DeutscheBank"/>
          <w:color w:val="000000" w:themeColor="text1"/>
          <w:sz w:val="16"/>
          <w:szCs w:val="16"/>
        </w:rPr>
        <w:t xml:space="preserve"> in Europ</w:t>
      </w:r>
      <w:r w:rsidR="00941D04" w:rsidRPr="00941D04">
        <w:rPr>
          <w:rFonts w:ascii="DeutscheBank" w:hAnsi="DeutscheBank"/>
          <w:color w:val="000000" w:themeColor="text1"/>
          <w:sz w:val="16"/>
          <w:szCs w:val="16"/>
        </w:rPr>
        <w:t>a investiert</w:t>
      </w:r>
      <w:r w:rsidR="0008751D" w:rsidRPr="00941D04">
        <w:rPr>
          <w:rFonts w:ascii="DeutscheBank" w:hAnsi="DeutscheBank"/>
          <w:color w:val="000000" w:themeColor="text1"/>
          <w:sz w:val="16"/>
          <w:szCs w:val="16"/>
        </w:rPr>
        <w:t xml:space="preserve"> 807, </w:t>
      </w:r>
      <w:r w:rsidR="00941D04">
        <w:rPr>
          <w:rFonts w:ascii="DeutscheBank" w:hAnsi="DeutscheBank"/>
          <w:color w:val="000000" w:themeColor="text1"/>
          <w:sz w:val="16"/>
          <w:szCs w:val="16"/>
        </w:rPr>
        <w:t>n</w:t>
      </w:r>
      <w:r w:rsidR="0008751D" w:rsidRPr="00941D04">
        <w:rPr>
          <w:rFonts w:ascii="DeutscheBank" w:hAnsi="DeutscheBank"/>
          <w:color w:val="000000" w:themeColor="text1"/>
          <w:sz w:val="16"/>
          <w:szCs w:val="16"/>
        </w:rPr>
        <w:t>o</w:t>
      </w:r>
      <w:r w:rsidR="00941D04" w:rsidRPr="00941D04">
        <w:rPr>
          <w:rFonts w:ascii="DeutscheBank" w:hAnsi="DeutscheBank"/>
          <w:color w:val="000000" w:themeColor="text1"/>
          <w:sz w:val="16"/>
          <w:szCs w:val="16"/>
        </w:rPr>
        <w:t>ch nich</w:t>
      </w:r>
      <w:r w:rsidR="00941D04">
        <w:rPr>
          <w:rFonts w:ascii="DeutscheBank" w:hAnsi="DeutscheBank"/>
          <w:color w:val="000000" w:themeColor="text1"/>
          <w:sz w:val="16"/>
          <w:szCs w:val="16"/>
        </w:rPr>
        <w:t>t in Europa investiert, aber geplant</w:t>
      </w:r>
      <w:r w:rsidR="0008751D" w:rsidRPr="00941D04">
        <w:rPr>
          <w:rFonts w:ascii="DeutscheBank" w:hAnsi="DeutscheBank"/>
          <w:color w:val="000000" w:themeColor="text1"/>
          <w:sz w:val="16"/>
          <w:szCs w:val="16"/>
        </w:rPr>
        <w:t xml:space="preserve"> 393)</w:t>
      </w:r>
    </w:p>
    <w:p w14:paraId="4F67F765" w14:textId="340A69ED" w:rsidR="0008751D" w:rsidRPr="00D51C28" w:rsidRDefault="00D51C28" w:rsidP="00AA76E2">
      <w:pPr>
        <w:pStyle w:val="Heading2"/>
        <w:rPr>
          <w:rFonts w:ascii="DeutscheBank" w:hAnsi="DeutscheBank"/>
          <w:color w:val="auto"/>
          <w:sz w:val="20"/>
          <w:szCs w:val="20"/>
        </w:rPr>
      </w:pPr>
      <w:r w:rsidRPr="00D51C28">
        <w:rPr>
          <w:rFonts w:ascii="DeutscheBank" w:hAnsi="DeutscheBank"/>
          <w:color w:val="auto"/>
          <w:sz w:val="20"/>
          <w:szCs w:val="20"/>
        </w:rPr>
        <w:lastRenderedPageBreak/>
        <w:t>Mit wachsender Erfahrung wächst das Vertrauen in Europa</w:t>
      </w:r>
    </w:p>
    <w:p w14:paraId="7D53DDB9" w14:textId="0663BBEB" w:rsidR="0008751D" w:rsidRDefault="64F87324" w:rsidP="00AA76E2">
      <w:pPr>
        <w:spacing w:after="150" w:line="288" w:lineRule="auto"/>
        <w:rPr>
          <w:rFonts w:ascii="DeutscheBank" w:hAnsi="DeutscheBank"/>
          <w:sz w:val="20"/>
          <w:szCs w:val="20"/>
        </w:rPr>
      </w:pPr>
      <w:r w:rsidRPr="2894FC4D">
        <w:rPr>
          <w:rFonts w:ascii="DeutscheBank" w:hAnsi="DeutscheBank"/>
          <w:sz w:val="20"/>
          <w:szCs w:val="20"/>
        </w:rPr>
        <w:t xml:space="preserve">Für mehr als ein Drittel der Befragten ist Europa die </w:t>
      </w:r>
      <w:r w:rsidR="7E99142B" w:rsidRPr="2894FC4D">
        <w:rPr>
          <w:rFonts w:ascii="DeutscheBank" w:hAnsi="DeutscheBank"/>
          <w:sz w:val="20"/>
          <w:szCs w:val="20"/>
        </w:rPr>
        <w:t xml:space="preserve">weltweit </w:t>
      </w:r>
      <w:r w:rsidRPr="2894FC4D">
        <w:rPr>
          <w:rFonts w:ascii="DeutscheBank" w:hAnsi="DeutscheBank"/>
          <w:sz w:val="20"/>
          <w:szCs w:val="20"/>
        </w:rPr>
        <w:t xml:space="preserve">attraktivste </w:t>
      </w:r>
      <w:proofErr w:type="gramStart"/>
      <w:r w:rsidR="00EB6B61" w:rsidRPr="2894FC4D" w:rsidDel="4CEAEB25">
        <w:rPr>
          <w:rFonts w:ascii="DeutscheBank" w:hAnsi="DeutscheBank"/>
          <w:sz w:val="20"/>
          <w:szCs w:val="20"/>
        </w:rPr>
        <w:t xml:space="preserve">Investitionsregion </w:t>
      </w:r>
      <w:r w:rsidR="64673A01" w:rsidRPr="5822115C">
        <w:rPr>
          <w:rFonts w:ascii="DeutscheBank" w:hAnsi="DeutscheBank"/>
          <w:sz w:val="20"/>
          <w:szCs w:val="20"/>
        </w:rPr>
        <w:t>überhaupt</w:t>
      </w:r>
      <w:proofErr w:type="gramEnd"/>
      <w:r w:rsidR="289D8A8E" w:rsidRPr="5822115C">
        <w:rPr>
          <w:rFonts w:ascii="DeutscheBank" w:hAnsi="DeutscheBank"/>
          <w:sz w:val="20"/>
          <w:szCs w:val="20"/>
        </w:rPr>
        <w:t>,</w:t>
      </w:r>
      <w:r w:rsidR="00A717F8" w:rsidRPr="00A717F8">
        <w:rPr>
          <w:rFonts w:ascii="DeutscheBank" w:hAnsi="DeutscheBank"/>
          <w:sz w:val="20"/>
          <w:szCs w:val="20"/>
        </w:rPr>
        <w:t xml:space="preserve"> </w:t>
      </w:r>
      <w:r w:rsidR="4CEAEB25" w:rsidRPr="2894FC4D">
        <w:rPr>
          <w:rFonts w:ascii="DeutscheBank" w:hAnsi="DeutscheBank"/>
          <w:sz w:val="20"/>
          <w:szCs w:val="20"/>
        </w:rPr>
        <w:t xml:space="preserve">35 Prozent </w:t>
      </w:r>
      <w:r w:rsidR="1DB0EB4A" w:rsidRPr="2894FC4D">
        <w:rPr>
          <w:rFonts w:ascii="DeutscheBank" w:hAnsi="DeutscheBank"/>
          <w:sz w:val="20"/>
          <w:szCs w:val="20"/>
        </w:rPr>
        <w:t xml:space="preserve">nennen sie </w:t>
      </w:r>
      <w:r w:rsidR="4CEAEB25" w:rsidRPr="2894FC4D">
        <w:rPr>
          <w:rFonts w:ascii="DeutscheBank" w:hAnsi="DeutscheBank"/>
          <w:sz w:val="20"/>
          <w:szCs w:val="20"/>
        </w:rPr>
        <w:t xml:space="preserve">an erster Stelle. Damit liegt </w:t>
      </w:r>
      <w:r w:rsidR="4A81061A" w:rsidRPr="5822115C">
        <w:rPr>
          <w:rFonts w:ascii="DeutscheBank" w:hAnsi="DeutscheBank"/>
          <w:sz w:val="20"/>
          <w:szCs w:val="20"/>
        </w:rPr>
        <w:t>Europa</w:t>
      </w:r>
      <w:r w:rsidR="00A717F8" w:rsidRPr="00A717F8">
        <w:rPr>
          <w:rFonts w:ascii="DeutscheBank" w:hAnsi="DeutscheBank"/>
          <w:sz w:val="20"/>
          <w:szCs w:val="20"/>
        </w:rPr>
        <w:t xml:space="preserve"> </w:t>
      </w:r>
      <w:r w:rsidR="4CEAEB25" w:rsidRPr="2894FC4D">
        <w:rPr>
          <w:rFonts w:ascii="DeutscheBank" w:hAnsi="DeutscheBank"/>
          <w:sz w:val="20"/>
          <w:szCs w:val="20"/>
        </w:rPr>
        <w:t xml:space="preserve">deutlich vor </w:t>
      </w:r>
      <w:r w:rsidR="13AF832C" w:rsidRPr="5822115C">
        <w:rPr>
          <w:rFonts w:ascii="DeutscheBank" w:hAnsi="DeutscheBank"/>
          <w:sz w:val="20"/>
          <w:szCs w:val="20"/>
        </w:rPr>
        <w:t>Asien</w:t>
      </w:r>
      <w:r w:rsidR="13AF832C" w:rsidRPr="2894FC4D">
        <w:rPr>
          <w:rFonts w:ascii="DeutscheBank" w:hAnsi="DeutscheBank"/>
          <w:sz w:val="20"/>
          <w:szCs w:val="20"/>
        </w:rPr>
        <w:t>-Pazifik</w:t>
      </w:r>
      <w:r w:rsidR="4CEAEB25" w:rsidRPr="2894FC4D">
        <w:rPr>
          <w:rFonts w:ascii="DeutscheBank" w:hAnsi="DeutscheBank"/>
          <w:sz w:val="20"/>
          <w:szCs w:val="20"/>
        </w:rPr>
        <w:t xml:space="preserve"> ohne China (24 Prozent) und </w:t>
      </w:r>
      <w:r w:rsidR="00A717F8" w:rsidRPr="00A717F8">
        <w:rPr>
          <w:rFonts w:ascii="DeutscheBank" w:hAnsi="DeutscheBank"/>
          <w:sz w:val="20"/>
          <w:szCs w:val="20"/>
        </w:rPr>
        <w:t>Nordamerika</w:t>
      </w:r>
      <w:r w:rsidR="4CEAEB25" w:rsidRPr="2894FC4D">
        <w:rPr>
          <w:rFonts w:ascii="DeutscheBank" w:hAnsi="DeutscheBank"/>
          <w:sz w:val="20"/>
          <w:szCs w:val="20"/>
        </w:rPr>
        <w:t xml:space="preserve"> (19 Prozent). </w:t>
      </w:r>
      <w:r w:rsidR="003B6EC1" w:rsidRPr="003B6EC1">
        <w:rPr>
          <w:rFonts w:ascii="DeutscheBank" w:hAnsi="DeutscheBank"/>
          <w:sz w:val="20"/>
          <w:szCs w:val="20"/>
        </w:rPr>
        <w:t xml:space="preserve">Bei Unternehmen, die bereits in Europa investieren, steigt der Anteil derjenigen, die </w:t>
      </w:r>
      <w:r w:rsidR="2AE4B846" w:rsidRPr="1DC6F10A">
        <w:rPr>
          <w:rFonts w:ascii="DeutscheBank" w:hAnsi="DeutscheBank"/>
          <w:sz w:val="20"/>
          <w:szCs w:val="20"/>
        </w:rPr>
        <w:t xml:space="preserve">den Kontinent </w:t>
      </w:r>
      <w:r w:rsidR="003B6EC1" w:rsidRPr="003B6EC1">
        <w:rPr>
          <w:rFonts w:ascii="DeutscheBank" w:hAnsi="DeutscheBank"/>
          <w:sz w:val="20"/>
          <w:szCs w:val="20"/>
        </w:rPr>
        <w:t xml:space="preserve">als erste Wahl nennen, auf 45 Prozent. Bei Unternehmen, die bislang noch nicht in Europa investieren, liegt </w:t>
      </w:r>
      <w:r w:rsidR="4F8F2519" w:rsidRPr="1DC6F10A">
        <w:rPr>
          <w:rFonts w:ascii="DeutscheBank" w:hAnsi="DeutscheBank"/>
          <w:sz w:val="20"/>
          <w:szCs w:val="20"/>
        </w:rPr>
        <w:t>er</w:t>
      </w:r>
      <w:r w:rsidR="003B6EC1" w:rsidRPr="003B6EC1">
        <w:rPr>
          <w:rFonts w:ascii="DeutscheBank" w:hAnsi="DeutscheBank"/>
          <w:sz w:val="20"/>
          <w:szCs w:val="20"/>
        </w:rPr>
        <w:t xml:space="preserve"> bei 15 Prozent. </w:t>
      </w:r>
      <w:r w:rsidR="6714B524" w:rsidRPr="1DC6F10A">
        <w:rPr>
          <w:rFonts w:ascii="DeutscheBank" w:hAnsi="DeutscheBank"/>
          <w:sz w:val="20"/>
          <w:szCs w:val="20"/>
        </w:rPr>
        <w:t xml:space="preserve">Das heißt: Wer in </w:t>
      </w:r>
      <w:r w:rsidR="7EF4F858" w:rsidRPr="1DC6F10A">
        <w:rPr>
          <w:rFonts w:ascii="DeutscheBank" w:hAnsi="DeutscheBank"/>
          <w:sz w:val="20"/>
          <w:szCs w:val="20"/>
        </w:rPr>
        <w:t>Europa</w:t>
      </w:r>
      <w:r w:rsidR="6714B524" w:rsidRPr="1DC6F10A">
        <w:rPr>
          <w:rFonts w:ascii="DeutscheBank" w:hAnsi="DeutscheBank"/>
          <w:sz w:val="20"/>
          <w:szCs w:val="20"/>
        </w:rPr>
        <w:t xml:space="preserve"> bereits Erfahrungen gesammelt </w:t>
      </w:r>
      <w:r w:rsidR="003B6EC1" w:rsidRPr="003B6EC1">
        <w:rPr>
          <w:rFonts w:ascii="DeutscheBank" w:hAnsi="DeutscheBank"/>
          <w:sz w:val="20"/>
          <w:szCs w:val="20"/>
        </w:rPr>
        <w:t xml:space="preserve">hat, bewertet </w:t>
      </w:r>
      <w:r w:rsidR="395F740A" w:rsidRPr="1DC6F10A">
        <w:rPr>
          <w:rFonts w:ascii="DeutscheBank" w:hAnsi="DeutscheBank"/>
          <w:sz w:val="20"/>
          <w:szCs w:val="20"/>
        </w:rPr>
        <w:t xml:space="preserve">es </w:t>
      </w:r>
      <w:r w:rsidR="003B6EC1" w:rsidRPr="003B6EC1">
        <w:rPr>
          <w:rFonts w:ascii="DeutscheBank" w:hAnsi="DeutscheBank"/>
          <w:sz w:val="20"/>
          <w:szCs w:val="20"/>
        </w:rPr>
        <w:t xml:space="preserve">deutlich positiver. Zugleich besteht erhebliches Potenzial, Unternehmen zu gewinnen, die Europa zwar grundsätzlich hoch </w:t>
      </w:r>
      <w:r w:rsidR="4158B7A1" w:rsidRPr="33A5EF2F">
        <w:rPr>
          <w:rFonts w:ascii="DeutscheBank" w:hAnsi="DeutscheBank"/>
          <w:sz w:val="20"/>
          <w:szCs w:val="20"/>
        </w:rPr>
        <w:t>einschätzen</w:t>
      </w:r>
      <w:r w:rsidR="003B6EC1" w:rsidRPr="003B6EC1">
        <w:rPr>
          <w:rFonts w:ascii="DeutscheBank" w:hAnsi="DeutscheBank"/>
          <w:sz w:val="20"/>
          <w:szCs w:val="20"/>
        </w:rPr>
        <w:t>, bislang aber nicht als ihre erste Wahl ansehen</w:t>
      </w:r>
      <w:r w:rsidR="0008751D" w:rsidRPr="003B6EC1">
        <w:rPr>
          <w:rFonts w:ascii="DeutscheBank" w:hAnsi="DeutscheBank"/>
          <w:sz w:val="20"/>
          <w:szCs w:val="20"/>
        </w:rPr>
        <w:t>.</w:t>
      </w:r>
    </w:p>
    <w:p w14:paraId="156E01E3" w14:textId="3AF59EF6" w:rsidR="0008751D" w:rsidRPr="00827802" w:rsidRDefault="003B6EC1" w:rsidP="0008751D">
      <w:pPr>
        <w:pStyle w:val="Caption"/>
        <w:rPr>
          <w:rFonts w:ascii="DeutscheBank" w:eastAsia="Arial" w:hAnsi="DeutscheBank" w:cs="Arial"/>
          <w:bCs/>
          <w:iCs w:val="0"/>
          <w:szCs w:val="20"/>
          <w:lang w:val="de-DE" w:eastAsia="de-DE"/>
          <w14:ligatures w14:val="none"/>
        </w:rPr>
      </w:pPr>
      <w:r w:rsidRPr="00827802">
        <w:rPr>
          <w:rFonts w:ascii="DeutscheBank" w:eastAsia="Arial" w:hAnsi="DeutscheBank" w:cs="Arial"/>
          <w:bCs/>
          <w:iCs w:val="0"/>
          <w:szCs w:val="20"/>
          <w:lang w:val="de-DE" w:eastAsia="de-DE"/>
          <w14:ligatures w14:val="none"/>
        </w:rPr>
        <w:t>Abbildung</w:t>
      </w:r>
      <w:r w:rsidR="0008751D" w:rsidRPr="00827802">
        <w:rPr>
          <w:rFonts w:ascii="DeutscheBank" w:eastAsia="Arial" w:hAnsi="DeutscheBank" w:cs="Arial"/>
          <w:bCs/>
          <w:iCs w:val="0"/>
          <w:szCs w:val="20"/>
          <w:lang w:val="de-DE" w:eastAsia="de-DE"/>
          <w14:ligatures w14:val="none"/>
        </w:rPr>
        <w:t xml:space="preserve"> 2: Attra</w:t>
      </w:r>
      <w:r w:rsidRPr="00827802">
        <w:rPr>
          <w:rFonts w:ascii="DeutscheBank" w:eastAsia="Arial" w:hAnsi="DeutscheBank" w:cs="Arial"/>
          <w:bCs/>
          <w:iCs w:val="0"/>
          <w:szCs w:val="20"/>
          <w:lang w:val="de-DE" w:eastAsia="de-DE"/>
          <w14:ligatures w14:val="none"/>
        </w:rPr>
        <w:t>ktivität der Regionen</w:t>
      </w:r>
      <w:r w:rsidR="0008751D" w:rsidRPr="00827802">
        <w:rPr>
          <w:rFonts w:ascii="DeutscheBank" w:eastAsia="Arial" w:hAnsi="DeutscheBank" w:cs="Arial"/>
          <w:bCs/>
          <w:iCs w:val="0"/>
          <w:szCs w:val="20"/>
          <w:lang w:val="de-DE" w:eastAsia="de-DE"/>
          <w14:ligatures w14:val="none"/>
        </w:rPr>
        <w:t xml:space="preserve"> (Top 1)</w:t>
      </w:r>
    </w:p>
    <w:p w14:paraId="34694B8A" w14:textId="213082FA" w:rsidR="002802E3" w:rsidRPr="003935BE" w:rsidRDefault="00827802" w:rsidP="00E447AC">
      <w:pPr>
        <w:pStyle w:val="Copy"/>
        <w:rPr>
          <w:rFonts w:ascii="Times New Roman" w:eastAsia="Times New Roman" w:hAnsi="Times New Roman" w:cs="Times New Roman"/>
          <w:sz w:val="24"/>
          <w:lang w:val="de-DE"/>
        </w:rPr>
      </w:pPr>
      <w:r w:rsidRPr="003935BE">
        <w:rPr>
          <w:rFonts w:ascii="DeutscheBank" w:eastAsia="Arial" w:hAnsi="DeutscheBank" w:cs="Arial"/>
          <w:color w:val="222222"/>
          <w:lang w:val="de-DE" w:eastAsia="de-DE"/>
          <w14:ligatures w14:val="none"/>
        </w:rPr>
        <w:t>Anteil der Befragten, die die jeweilige Weltregion als attraktivsten Investitionsstandort nennen (</w:t>
      </w:r>
      <w:r w:rsidR="62D4EA69" w:rsidRPr="003935BE">
        <w:rPr>
          <w:rFonts w:ascii="DeutscheBank" w:eastAsia="Arial" w:hAnsi="DeutscheBank" w:cs="Arial"/>
          <w:color w:val="222222"/>
          <w:lang w:val="de-DE" w:eastAsia="de-DE"/>
        </w:rPr>
        <w:t>alle Befragte</w:t>
      </w:r>
      <w:r w:rsidRPr="003935BE">
        <w:rPr>
          <w:rFonts w:ascii="DeutscheBank" w:eastAsia="Arial" w:hAnsi="DeutscheBank" w:cs="Arial"/>
          <w:color w:val="222222"/>
          <w:lang w:val="de-DE" w:eastAsia="de-DE"/>
        </w:rPr>
        <w:t xml:space="preserve"> und nach Investitionsstatus</w:t>
      </w:r>
      <w:r w:rsidR="0008751D" w:rsidRPr="003935BE">
        <w:rPr>
          <w:rFonts w:ascii="DeutscheBank" w:eastAsia="Arial" w:hAnsi="DeutscheBank" w:cs="Arial"/>
          <w:color w:val="222222"/>
          <w:lang w:val="de-DE" w:eastAsia="de-DE"/>
        </w:rPr>
        <w:t>)</w:t>
      </w:r>
      <w:r w:rsidR="002802E3" w:rsidRPr="003935BE">
        <w:rPr>
          <w:rFonts w:ascii="Times New Roman" w:eastAsia="Times New Roman" w:hAnsi="Times New Roman" w:cs="Times New Roman"/>
          <w:sz w:val="24"/>
          <w:lang w:val="de-DE"/>
        </w:rPr>
        <w:t xml:space="preserve"> </w:t>
      </w:r>
    </w:p>
    <w:p w14:paraId="384B28B9" w14:textId="0B42979B" w:rsidR="0008751D" w:rsidRPr="00206962" w:rsidRDefault="00831599" w:rsidP="00831599">
      <w:pPr>
        <w:pStyle w:val="Copy"/>
        <w:jc w:val="center"/>
        <w:rPr>
          <w:rFonts w:ascii="DeutscheBank" w:hAnsi="DeutscheBank"/>
        </w:rPr>
      </w:pPr>
      <w:r w:rsidRPr="00831599">
        <w:rPr>
          <w:rFonts w:ascii="DeutscheBank" w:hAnsi="DeutscheBank"/>
          <w:noProof/>
        </w:rPr>
        <w:drawing>
          <wp:inline distT="0" distB="0" distL="0" distR="0" wp14:anchorId="525EC39A" wp14:editId="1F405F38">
            <wp:extent cx="4612357" cy="3193366"/>
            <wp:effectExtent l="0" t="0" r="0" b="7620"/>
            <wp:docPr id="2023614876" name="Grafik 10" descr="Horizontales Balkendiagramm zeigt die Wahrgenommen Attraktivität nach Region und Investitionsstatus in der Reihenfolge Gesamt, bereits in Europa investierenden Unternehmen sowie geplanten Investitionen in Europa. Drei blau abgestufte Balkenreihen zeigen: Europa 35/45/15 %, China 6/5/6 %, APAC ohne China 24/15/44 %, Nordamerika 19/22/13 %, Naher Osten 10/8/15 % und LATAM 5/4/6 %; höchster geplanter Anteil entfällt auf APAC ohne 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14876" name="Grafik 10" descr="Horizontales Balkendiagramm zeigt die Wahrgenommen Attraktivität nach Region und Investitionsstatus in der Reihenfolge Gesamt, bereits in Europa investierenden Unternehmen sowie geplanten Investitionen in Europa. Drei blau abgestufte Balkenreihen zeigen: Europa 35/45/15 %, China 6/5/6 %, APAC ohne China 24/15/44 %, Nordamerika 19/22/13 %, Naher Osten 10/8/15 % und LATAM 5/4/6 %; höchster geplanter Anteil entfällt auf APAC ohne Chin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9187" cy="3205018"/>
                    </a:xfrm>
                    <a:prstGeom prst="rect">
                      <a:avLst/>
                    </a:prstGeom>
                    <a:noFill/>
                    <a:ln>
                      <a:noFill/>
                    </a:ln>
                  </pic:spPr>
                </pic:pic>
              </a:graphicData>
            </a:graphic>
          </wp:inline>
        </w:drawing>
      </w:r>
    </w:p>
    <w:p w14:paraId="36661115" w14:textId="01B127D3" w:rsidR="0008751D" w:rsidRPr="00E447AC" w:rsidRDefault="0008751D" w:rsidP="0008751D">
      <w:pPr>
        <w:keepNext/>
        <w:spacing w:before="140" w:after="40"/>
        <w:jc w:val="center"/>
        <w:rPr>
          <w:rFonts w:ascii="DeutscheBank" w:hAnsi="DeutscheBank"/>
          <w:lang w:val="en-US"/>
        </w:rPr>
      </w:pPr>
    </w:p>
    <w:p w14:paraId="4920A7FE" w14:textId="77777777" w:rsidR="008E59F0" w:rsidRPr="00941D04" w:rsidRDefault="008E59F0" w:rsidP="008E59F0">
      <w:pPr>
        <w:spacing w:after="180"/>
        <w:jc w:val="both"/>
        <w:rPr>
          <w:rFonts w:ascii="DeutscheBank" w:hAnsi="DeutscheBank"/>
        </w:rPr>
      </w:pPr>
      <w:r w:rsidRPr="00E6707A">
        <w:rPr>
          <w:rFonts w:ascii="DeutscheBank" w:hAnsi="DeutscheBank"/>
          <w:b/>
          <w:color w:val="000000" w:themeColor="text1"/>
          <w:sz w:val="16"/>
          <w:szCs w:val="16"/>
        </w:rPr>
        <w:t xml:space="preserve">Quelle: </w:t>
      </w:r>
      <w:r w:rsidRPr="00E6707A">
        <w:rPr>
          <w:rFonts w:ascii="DeutscheBank" w:hAnsi="DeutscheBank"/>
          <w:color w:val="000000" w:themeColor="text1"/>
          <w:sz w:val="16"/>
          <w:szCs w:val="16"/>
        </w:rPr>
        <w:t xml:space="preserve">Global Sentiment Survey on Europe 2026, B2B online Studie. </w:t>
      </w:r>
      <w:r w:rsidRPr="00941D04">
        <w:rPr>
          <w:rFonts w:ascii="DeutscheBank" w:hAnsi="DeutscheBank"/>
          <w:color w:val="000000" w:themeColor="text1"/>
          <w:sz w:val="16"/>
          <w:szCs w:val="16"/>
        </w:rPr>
        <w:t>Basis</w:t>
      </w:r>
      <w:r w:rsidRPr="00941D04">
        <w:rPr>
          <w:rFonts w:ascii="DeutscheBank" w:hAnsi="DeutscheBank"/>
          <w:b/>
          <w:bCs/>
          <w:color w:val="000000" w:themeColor="text1"/>
          <w:sz w:val="16"/>
          <w:szCs w:val="16"/>
        </w:rPr>
        <w:t>:</w:t>
      </w:r>
      <w:r w:rsidRPr="00941D04">
        <w:rPr>
          <w:rFonts w:ascii="DeutscheBank" w:hAnsi="DeutscheBank"/>
          <w:color w:val="000000" w:themeColor="text1"/>
          <w:sz w:val="16"/>
          <w:szCs w:val="16"/>
        </w:rPr>
        <w:t xml:space="preserve"> n = 1,200 (bereits in Europa investiert 807, </w:t>
      </w:r>
      <w:r>
        <w:rPr>
          <w:rFonts w:ascii="DeutscheBank" w:hAnsi="DeutscheBank"/>
          <w:color w:val="000000" w:themeColor="text1"/>
          <w:sz w:val="16"/>
          <w:szCs w:val="16"/>
        </w:rPr>
        <w:t>n</w:t>
      </w:r>
      <w:r w:rsidRPr="00941D04">
        <w:rPr>
          <w:rFonts w:ascii="DeutscheBank" w:hAnsi="DeutscheBank"/>
          <w:color w:val="000000" w:themeColor="text1"/>
          <w:sz w:val="16"/>
          <w:szCs w:val="16"/>
        </w:rPr>
        <w:t>och nich</w:t>
      </w:r>
      <w:r>
        <w:rPr>
          <w:rFonts w:ascii="DeutscheBank" w:hAnsi="DeutscheBank"/>
          <w:color w:val="000000" w:themeColor="text1"/>
          <w:sz w:val="16"/>
          <w:szCs w:val="16"/>
        </w:rPr>
        <w:t>t in Europa investiert, aber geplant</w:t>
      </w:r>
      <w:r w:rsidRPr="00941D04">
        <w:rPr>
          <w:rFonts w:ascii="DeutscheBank" w:hAnsi="DeutscheBank"/>
          <w:color w:val="000000" w:themeColor="text1"/>
          <w:sz w:val="16"/>
          <w:szCs w:val="16"/>
        </w:rPr>
        <w:t xml:space="preserve"> 393)</w:t>
      </w:r>
    </w:p>
    <w:p w14:paraId="65D6C637" w14:textId="77777777" w:rsidR="002C3064" w:rsidRPr="008E59F0" w:rsidRDefault="002C3064" w:rsidP="0008751D">
      <w:pPr>
        <w:spacing w:after="180"/>
        <w:jc w:val="both"/>
        <w:rPr>
          <w:rFonts w:ascii="DeutscheBank" w:hAnsi="DeutscheBank"/>
        </w:rPr>
      </w:pPr>
    </w:p>
    <w:p w14:paraId="0D56A1D7" w14:textId="609A1002" w:rsidR="0008751D" w:rsidRPr="004B2849" w:rsidRDefault="004B2849" w:rsidP="00AA76E2">
      <w:pPr>
        <w:pStyle w:val="Heading2"/>
        <w:rPr>
          <w:rFonts w:ascii="DeutscheBank" w:hAnsi="DeutscheBank"/>
          <w:color w:val="auto"/>
          <w:sz w:val="20"/>
          <w:szCs w:val="20"/>
        </w:rPr>
      </w:pPr>
      <w:r w:rsidRPr="004B2849">
        <w:rPr>
          <w:rFonts w:ascii="DeutscheBank" w:hAnsi="DeutscheBank"/>
          <w:color w:val="auto"/>
          <w:sz w:val="20"/>
          <w:szCs w:val="20"/>
        </w:rPr>
        <w:t>Europas Relevanz für Investitionsentscheidungen nimmt zu</w:t>
      </w:r>
    </w:p>
    <w:p w14:paraId="348E952D" w14:textId="033F885C" w:rsidR="00944D44" w:rsidRPr="00944D44" w:rsidRDefault="00944D44" w:rsidP="00944D44">
      <w:pPr>
        <w:spacing w:after="150" w:line="288" w:lineRule="auto"/>
        <w:rPr>
          <w:rFonts w:ascii="DeutscheBank" w:hAnsi="DeutscheBank"/>
          <w:sz w:val="20"/>
          <w:szCs w:val="20"/>
        </w:rPr>
      </w:pPr>
      <w:r w:rsidRPr="00944D44">
        <w:rPr>
          <w:rFonts w:ascii="DeutscheBank" w:hAnsi="DeutscheBank"/>
          <w:sz w:val="20"/>
          <w:szCs w:val="20"/>
        </w:rPr>
        <w:t xml:space="preserve">Die Attraktivität Europas nimmt weiter zu. 81 Prozent der Befragten geben an, dass Europa bei ihren Investitionsentscheidungen heute eine größere Rolle spielt als vor drei Jahren. Für 28 Prozent ist die Bedeutung Europas deutlich gestiegen, für weitere 53 Prozent ist sie etwas gestiegen. Nur 3 Prozent sagen, Europa habe an Bedeutung verloren. </w:t>
      </w:r>
    </w:p>
    <w:p w14:paraId="5CFDB91C" w14:textId="5669EE6E" w:rsidR="00944D44" w:rsidRPr="00944D44" w:rsidRDefault="00944D44" w:rsidP="00944D44">
      <w:pPr>
        <w:spacing w:after="150" w:line="288" w:lineRule="auto"/>
        <w:rPr>
          <w:rFonts w:ascii="DeutscheBank" w:hAnsi="DeutscheBank"/>
          <w:sz w:val="20"/>
          <w:szCs w:val="20"/>
        </w:rPr>
      </w:pPr>
      <w:r w:rsidRPr="00944D44">
        <w:rPr>
          <w:rFonts w:ascii="DeutscheBank" w:hAnsi="DeutscheBank"/>
          <w:sz w:val="20"/>
          <w:szCs w:val="20"/>
        </w:rPr>
        <w:t xml:space="preserve">Dieser Bedeutungszuwachs zeigt sich in allen Regionen, fällt jedoch unterschiedlich stark aus. Besonders ausgeprägt ist er in Amerika: Dort geben 39 Prozent der Befragten an, dass Europa deutlich wichtiger geworden ist. In der Region Asien-Pazifik liegt dieser Anteil bei 24 Prozent, im Nahen Osten bei 20 Prozent. </w:t>
      </w:r>
      <w:r w:rsidR="00EC535E" w:rsidRPr="00EC535E">
        <w:rPr>
          <w:rFonts w:ascii="DeutscheBank" w:hAnsi="DeutscheBank"/>
          <w:sz w:val="20"/>
          <w:szCs w:val="20"/>
        </w:rPr>
        <w:t>Zusammengenommen geben 89 Prozent der Befragten im Nahen Osten, 85 Prozent in Amerika und 77 Prozent in Asien-Pazifik an, dass Europa heute eine etwas oder deutlich größere Rolle bei ihren Investitionsentscheidungen spielt als vor drei Jahren.</w:t>
      </w:r>
    </w:p>
    <w:p w14:paraId="2EBECBFC" w14:textId="66A90F58" w:rsidR="0008751D" w:rsidRPr="003C753A" w:rsidRDefault="00944D44" w:rsidP="47942481">
      <w:r w:rsidRPr="47942481">
        <w:rPr>
          <w:rFonts w:ascii="DeutscheBank" w:hAnsi="DeutscheBank"/>
          <w:b/>
        </w:rPr>
        <w:lastRenderedPageBreak/>
        <w:t>Abbildung</w:t>
      </w:r>
      <w:r w:rsidR="0008751D" w:rsidRPr="47942481">
        <w:rPr>
          <w:rFonts w:ascii="DeutscheBank" w:hAnsi="DeutscheBank"/>
          <w:b/>
        </w:rPr>
        <w:t xml:space="preserve"> 3: </w:t>
      </w:r>
      <w:r w:rsidR="00DF0C27" w:rsidRPr="47942481">
        <w:rPr>
          <w:rFonts w:ascii="DeutscheBank" w:hAnsi="DeutscheBank"/>
          <w:b/>
        </w:rPr>
        <w:t>Bedeutung Europas im Vergleich zu vor drei Jahren</w:t>
      </w:r>
      <w:r w:rsidR="240672C7" w:rsidRPr="47942481">
        <w:rPr>
          <w:rFonts w:ascii="DeutscheBank" w:hAnsi="DeutscheBank"/>
          <w:b/>
        </w:rPr>
        <w:t>, nach Region</w:t>
      </w:r>
      <w:r w:rsidR="6A748497" w:rsidRPr="4B07A880">
        <w:rPr>
          <w:rFonts w:ascii="DeutscheBank" w:hAnsi="DeutscheBank"/>
          <w:b/>
          <w:bCs/>
        </w:rPr>
        <w:t xml:space="preserve">                        </w:t>
      </w:r>
      <w:r w:rsidR="2B32B47C" w:rsidRPr="4B07A880">
        <w:rPr>
          <w:rFonts w:ascii="DeutscheBank" w:hAnsi="DeutscheBank"/>
          <w:b/>
        </w:rPr>
        <w:t xml:space="preserve"> </w:t>
      </w:r>
      <w:r w:rsidR="2E49650F" w:rsidRPr="1DC6F10A">
        <w:rPr>
          <w:rFonts w:ascii="DeutscheBank" w:hAnsi="DeutscheBank"/>
        </w:rPr>
        <w:t>Top-2-</w:t>
      </w:r>
      <w:r w:rsidR="2B32B47C" w:rsidRPr="1DC6F10A">
        <w:rPr>
          <w:rFonts w:ascii="DeutscheBank" w:hAnsi="DeutscheBank"/>
        </w:rPr>
        <w:t>Antworten</w:t>
      </w:r>
      <w:r w:rsidR="46DC2B0D" w:rsidRPr="1DC6F10A">
        <w:rPr>
          <w:rFonts w:ascii="DeutscheBank" w:hAnsi="DeutscheBank"/>
        </w:rPr>
        <w:t xml:space="preserve"> </w:t>
      </w:r>
      <w:r w:rsidR="721D5E46" w:rsidRPr="1DC6F10A">
        <w:rPr>
          <w:rFonts w:ascii="DeutscheBank" w:hAnsi="DeutscheBank"/>
        </w:rPr>
        <w:t>au</w:t>
      </w:r>
      <w:r w:rsidR="253C398D" w:rsidRPr="1DC6F10A">
        <w:rPr>
          <w:rFonts w:ascii="DeutscheBank" w:hAnsi="DeutscheBank"/>
        </w:rPr>
        <w:t>f</w:t>
      </w:r>
      <w:r w:rsidR="2E112819" w:rsidRPr="1DC6F10A">
        <w:rPr>
          <w:rFonts w:ascii="DeutscheBank" w:hAnsi="DeutscheBank"/>
        </w:rPr>
        <w:t xml:space="preserve"> einer 5-</w:t>
      </w:r>
      <w:r w:rsidR="27DF6002" w:rsidRPr="1DC6F10A">
        <w:rPr>
          <w:rFonts w:ascii="DeutscheBank" w:hAnsi="DeutscheBank"/>
        </w:rPr>
        <w:t>stufigen</w:t>
      </w:r>
      <w:r w:rsidR="01988680" w:rsidRPr="1DC6F10A">
        <w:rPr>
          <w:rFonts w:ascii="DeutscheBank" w:hAnsi="DeutscheBank"/>
        </w:rPr>
        <w:t>-</w:t>
      </w:r>
      <w:r w:rsidR="2E112819" w:rsidRPr="1DC6F10A">
        <w:rPr>
          <w:rFonts w:ascii="DeutscheBank" w:hAnsi="DeutscheBank"/>
        </w:rPr>
        <w:t>Skala</w:t>
      </w:r>
      <w:r w:rsidR="46DC2B0D" w:rsidRPr="1DC6F10A">
        <w:rPr>
          <w:rFonts w:ascii="DeutscheBank" w:hAnsi="DeutscheBank"/>
        </w:rPr>
        <w:t xml:space="preserve"> </w:t>
      </w:r>
      <w:r w:rsidR="7B0ACBDE" w:rsidRPr="1DC6F10A">
        <w:rPr>
          <w:rFonts w:ascii="DeutscheBank" w:hAnsi="DeutscheBank"/>
        </w:rPr>
        <w:t>(</w:t>
      </w:r>
      <w:r w:rsidR="5C2E92AF" w:rsidRPr="7F7C9998">
        <w:rPr>
          <w:rFonts w:ascii="DeutscheBank" w:hAnsi="DeutscheBank"/>
        </w:rPr>
        <w:t>alle Befragte</w:t>
      </w:r>
      <w:r w:rsidR="7B0ACBDE" w:rsidRPr="7F7C9998">
        <w:rPr>
          <w:rFonts w:ascii="DeutscheBank" w:hAnsi="DeutscheBank"/>
        </w:rPr>
        <w:t>)</w:t>
      </w:r>
    </w:p>
    <w:p w14:paraId="7DFC83DB" w14:textId="77777777" w:rsidR="0008751D" w:rsidRPr="00D93E18" w:rsidRDefault="0008751D" w:rsidP="0008751D">
      <w:pPr>
        <w:keepNext/>
        <w:spacing w:before="140" w:after="40"/>
        <w:jc w:val="both"/>
        <w:rPr>
          <w:rFonts w:ascii="DeutscheBank" w:hAnsi="DeutscheBank"/>
        </w:rPr>
      </w:pPr>
    </w:p>
    <w:p w14:paraId="75CEC953" w14:textId="597313D6" w:rsidR="00D26759" w:rsidRPr="00D26759" w:rsidRDefault="00163A88" w:rsidP="00B01F21">
      <w:pPr>
        <w:keepNext/>
        <w:spacing w:before="140" w:after="40"/>
        <w:jc w:val="center"/>
        <w:rPr>
          <w:rFonts w:ascii="DeutscheBank" w:hAnsi="DeutscheBank"/>
        </w:rPr>
      </w:pPr>
      <w:r w:rsidRPr="00163A88">
        <w:rPr>
          <w:rFonts w:ascii="DeutscheBank" w:hAnsi="DeutscheBank"/>
          <w:noProof/>
        </w:rPr>
        <w:drawing>
          <wp:inline distT="0" distB="0" distL="0" distR="0" wp14:anchorId="32057716" wp14:editId="108EB894">
            <wp:extent cx="4346917" cy="2680407"/>
            <wp:effectExtent l="0" t="0" r="0" b="5715"/>
            <wp:docPr id="316577513" name="Grafik 8" descr="Gestapeltes Balkendiagramm zum Vergleich regionaler Einschätzungen, wie viel wichtiger die Bedeutung Europas im Vergleich zu vor drei Jahren geworden ist. „Viel wichtiger“ und „Etwas wichtiger“ ergeben zusammen 81 % weltweit, 77 % in APAC, 89 % im Nahen Osten und 85 % in Amerika; Naher Osten erreicht höchsten Gesamtwert, Amerika höchsten Anteil „Viel wichtiger“ mit 3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77513" name="Grafik 8" descr="Gestapeltes Balkendiagramm zum Vergleich regionaler Einschätzungen, wie viel wichtiger die Bedeutung Europas im Vergleich zu vor drei Jahren geworden ist. „Viel wichtiger“ und „Etwas wichtiger“ ergeben zusammen 81 % weltweit, 77 % in APAC, 89 % im Nahen Osten und 85 % in Amerika; Naher Osten erreicht höchsten Gesamtwert, Amerika höchsten Anteil „Viel wichtiger“ mit 39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69762" cy="2694494"/>
                    </a:xfrm>
                    <a:prstGeom prst="rect">
                      <a:avLst/>
                    </a:prstGeom>
                    <a:noFill/>
                    <a:ln>
                      <a:noFill/>
                    </a:ln>
                  </pic:spPr>
                </pic:pic>
              </a:graphicData>
            </a:graphic>
          </wp:inline>
        </w:drawing>
      </w:r>
    </w:p>
    <w:p w14:paraId="5B5B6E4E" w14:textId="47EBD957" w:rsidR="0008751D" w:rsidRPr="001E5405" w:rsidRDefault="0008751D" w:rsidP="003979C8">
      <w:pPr>
        <w:keepNext/>
        <w:spacing w:before="140" w:after="40"/>
        <w:rPr>
          <w:rFonts w:ascii="DeutscheBank" w:hAnsi="DeutscheBank"/>
        </w:rPr>
      </w:pPr>
    </w:p>
    <w:p w14:paraId="4BFC7725" w14:textId="386D6EB7" w:rsidR="006C38AB" w:rsidRPr="00D93E18" w:rsidRDefault="00D93E18" w:rsidP="4B07A880">
      <w:pPr>
        <w:spacing w:after="180"/>
        <w:jc w:val="both"/>
        <w:rPr>
          <w:rFonts w:ascii="DeutscheBank" w:hAnsi="DeutscheBank"/>
          <w:color w:val="000000" w:themeColor="text1"/>
          <w:sz w:val="16"/>
          <w:szCs w:val="16"/>
        </w:rPr>
      </w:pPr>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4D6918DF" w:rsidRPr="4B07A880">
        <w:rPr>
          <w:rFonts w:ascii="DeutscheBank" w:hAnsi="DeutscheBank"/>
          <w:color w:val="000000" w:themeColor="text1"/>
          <w:sz w:val="16"/>
          <w:szCs w:val="16"/>
        </w:rPr>
        <w:t>Basis</w:t>
      </w:r>
      <w:r w:rsidR="4D6918DF" w:rsidRPr="4B07A880">
        <w:rPr>
          <w:rFonts w:ascii="DeutscheBank" w:hAnsi="DeutscheBank"/>
          <w:b/>
          <w:bCs/>
          <w:color w:val="000000" w:themeColor="text1"/>
          <w:sz w:val="16"/>
          <w:szCs w:val="16"/>
        </w:rPr>
        <w:t>:</w:t>
      </w:r>
      <w:r w:rsidR="4D6918DF" w:rsidRPr="4B07A880">
        <w:rPr>
          <w:rFonts w:ascii="DeutscheBank" w:hAnsi="DeutscheBank"/>
          <w:color w:val="000000" w:themeColor="text1"/>
          <w:sz w:val="16"/>
          <w:szCs w:val="16"/>
        </w:rPr>
        <w:t xml:space="preserve"> n = 1,200 (</w:t>
      </w:r>
      <w:r w:rsidR="7E2479BF" w:rsidRPr="4B07A880">
        <w:rPr>
          <w:rFonts w:ascii="DeutscheBank" w:hAnsi="DeutscheBank"/>
          <w:color w:val="000000" w:themeColor="text1"/>
          <w:sz w:val="16"/>
          <w:szCs w:val="16"/>
        </w:rPr>
        <w:t>APAC 600, Naher Osten 200, Amerika 400)</w:t>
      </w:r>
    </w:p>
    <w:p w14:paraId="67DD384D" w14:textId="4C44E9AD" w:rsidR="0008751D" w:rsidRPr="00BB676A" w:rsidRDefault="003B1C6D" w:rsidP="00AA76E2">
      <w:pPr>
        <w:pStyle w:val="Heading2"/>
        <w:rPr>
          <w:rFonts w:ascii="DeutscheBank" w:hAnsi="DeutscheBank"/>
          <w:color w:val="000000" w:themeColor="text1"/>
          <w:sz w:val="20"/>
          <w:szCs w:val="20"/>
          <w:lang w:val="en-GB"/>
        </w:rPr>
      </w:pPr>
      <w:r w:rsidRPr="003B1C6D">
        <w:rPr>
          <w:rFonts w:ascii="DeutscheBank" w:hAnsi="DeutscheBank"/>
          <w:color w:val="000000" w:themeColor="text1"/>
          <w:sz w:val="20"/>
          <w:szCs w:val="20"/>
          <w:lang w:val="en-GB"/>
        </w:rPr>
        <w:t>Stabilität in unsicheren Zeiten</w:t>
      </w:r>
    </w:p>
    <w:p w14:paraId="2C54E6F9" w14:textId="35A257BA" w:rsidR="00B15F78" w:rsidRPr="00B15F78" w:rsidRDefault="00B15F78" w:rsidP="00B15F78">
      <w:pPr>
        <w:spacing w:after="150" w:line="288" w:lineRule="auto"/>
        <w:rPr>
          <w:rFonts w:ascii="DeutscheBank" w:hAnsi="DeutscheBank"/>
          <w:sz w:val="20"/>
          <w:szCs w:val="20"/>
        </w:rPr>
      </w:pPr>
      <w:r w:rsidRPr="00B15F78">
        <w:rPr>
          <w:rFonts w:ascii="DeutscheBank" w:hAnsi="DeutscheBank"/>
          <w:sz w:val="20"/>
          <w:szCs w:val="20"/>
        </w:rPr>
        <w:t xml:space="preserve">Widerstandsfähigkeit ist im aktuellen </w:t>
      </w:r>
      <w:r w:rsidR="3B15C4E7" w:rsidRPr="1DC6F10A">
        <w:rPr>
          <w:rFonts w:ascii="DeutscheBank" w:hAnsi="DeutscheBank"/>
          <w:sz w:val="20"/>
          <w:szCs w:val="20"/>
        </w:rPr>
        <w:t>U</w:t>
      </w:r>
      <w:r w:rsidRPr="1DC6F10A">
        <w:rPr>
          <w:rFonts w:ascii="DeutscheBank" w:hAnsi="DeutscheBank"/>
          <w:sz w:val="20"/>
          <w:szCs w:val="20"/>
        </w:rPr>
        <w:t>mfeld</w:t>
      </w:r>
      <w:r w:rsidRPr="00B15F78">
        <w:rPr>
          <w:rFonts w:ascii="DeutscheBank" w:hAnsi="DeutscheBank"/>
          <w:sz w:val="20"/>
          <w:szCs w:val="20"/>
        </w:rPr>
        <w:t xml:space="preserve"> ein entscheidender Faktor. Geopolitische Spannungen und wirtschaftliche Unsicherheit beeinflussen Investitionsentscheidungen zunehmend. Europa schneidet in diesem Bereich besonders gut ab: Rund 71 Prozent der Investoren bewerten die Region als sehr oder weitgehend widerstandsfähigen Wirtschaftsstandort. Nur etwa 10 Prozent halten Europa für nicht </w:t>
      </w:r>
      <w:r w:rsidR="4754F6DA" w:rsidRPr="1DC6F10A">
        <w:rPr>
          <w:rFonts w:ascii="DeutscheBank" w:hAnsi="DeutscheBank"/>
          <w:sz w:val="20"/>
          <w:szCs w:val="20"/>
        </w:rPr>
        <w:t>resilient</w:t>
      </w:r>
      <w:r w:rsidRPr="1DC6F10A">
        <w:rPr>
          <w:rFonts w:ascii="DeutscheBank" w:hAnsi="DeutscheBank"/>
          <w:sz w:val="20"/>
          <w:szCs w:val="20"/>
        </w:rPr>
        <w:t>.</w:t>
      </w:r>
      <w:r w:rsidR="115132D0" w:rsidRPr="1DC6F10A">
        <w:rPr>
          <w:rFonts w:ascii="DeutscheBank" w:hAnsi="DeutscheBank"/>
          <w:sz w:val="20"/>
          <w:szCs w:val="20"/>
        </w:rPr>
        <w:t xml:space="preserve"> Dies stärkt </w:t>
      </w:r>
      <w:r w:rsidRPr="00B15F78">
        <w:rPr>
          <w:rFonts w:ascii="DeutscheBank" w:hAnsi="DeutscheBank"/>
          <w:sz w:val="20"/>
          <w:szCs w:val="20"/>
        </w:rPr>
        <w:t xml:space="preserve">Europas Attraktivität in einer Zeit, in der Stabilität und Planbarkeit </w:t>
      </w:r>
      <w:r w:rsidR="3999C2D9" w:rsidRPr="1DC6F10A">
        <w:rPr>
          <w:rFonts w:ascii="DeutscheBank" w:hAnsi="DeutscheBank"/>
          <w:sz w:val="20"/>
          <w:szCs w:val="20"/>
        </w:rPr>
        <w:t xml:space="preserve">besonders </w:t>
      </w:r>
      <w:r w:rsidRPr="00B15F78">
        <w:rPr>
          <w:rFonts w:ascii="DeutscheBank" w:hAnsi="DeutscheBank"/>
          <w:sz w:val="20"/>
          <w:szCs w:val="20"/>
        </w:rPr>
        <w:t>wichtig sind.</w:t>
      </w:r>
    </w:p>
    <w:p w14:paraId="502DBC57" w14:textId="3F6ECBB5" w:rsidR="00B15F78" w:rsidRPr="00B15F78" w:rsidRDefault="00B15F78" w:rsidP="00B15F78">
      <w:pPr>
        <w:spacing w:after="150" w:line="288" w:lineRule="auto"/>
        <w:rPr>
          <w:rFonts w:ascii="DeutscheBank" w:hAnsi="DeutscheBank"/>
          <w:sz w:val="20"/>
          <w:szCs w:val="20"/>
        </w:rPr>
      </w:pPr>
      <w:r w:rsidRPr="00B15F78">
        <w:rPr>
          <w:rFonts w:ascii="DeutscheBank" w:hAnsi="DeutscheBank"/>
          <w:sz w:val="20"/>
          <w:szCs w:val="20"/>
        </w:rPr>
        <w:t>Ein Blick auf die einzelnen Weltregionen ist aufschlussreich: Im Nahen Osten wird Europas Widerstandsfähigkeit am positivsten bewertet (82 Prozent), gefolgt von Asien-Pazifik (7</w:t>
      </w:r>
      <w:r w:rsidR="00BC4C59">
        <w:rPr>
          <w:rFonts w:ascii="DeutscheBank" w:hAnsi="DeutscheBank"/>
          <w:sz w:val="20"/>
          <w:szCs w:val="20"/>
        </w:rPr>
        <w:t>1</w:t>
      </w:r>
      <w:r w:rsidRPr="00B15F78">
        <w:rPr>
          <w:rFonts w:ascii="DeutscheBank" w:hAnsi="DeutscheBank"/>
          <w:sz w:val="20"/>
          <w:szCs w:val="20"/>
        </w:rPr>
        <w:t xml:space="preserve"> Prozent) und Amerika (65 Prozent). </w:t>
      </w:r>
      <w:r w:rsidR="00616F53">
        <w:rPr>
          <w:rFonts w:ascii="DeutscheBank" w:hAnsi="DeutscheBank"/>
          <w:sz w:val="20"/>
          <w:szCs w:val="20"/>
        </w:rPr>
        <w:t xml:space="preserve">Auch in allen anderen Regionen </w:t>
      </w:r>
      <w:r w:rsidR="00863E0C">
        <w:rPr>
          <w:rFonts w:ascii="DeutscheBank" w:hAnsi="DeutscheBank"/>
          <w:sz w:val="20"/>
          <w:szCs w:val="20"/>
        </w:rPr>
        <w:t xml:space="preserve">hält die </w:t>
      </w:r>
      <w:r w:rsidR="00086E87">
        <w:rPr>
          <w:rFonts w:ascii="DeutscheBank" w:hAnsi="DeutscheBank"/>
          <w:sz w:val="20"/>
          <w:szCs w:val="20"/>
        </w:rPr>
        <w:t xml:space="preserve">klare Mehrheit der </w:t>
      </w:r>
      <w:r w:rsidR="00EC3C8C">
        <w:rPr>
          <w:rFonts w:ascii="DeutscheBank" w:hAnsi="DeutscheBank"/>
          <w:sz w:val="20"/>
          <w:szCs w:val="20"/>
        </w:rPr>
        <w:t>Befragten</w:t>
      </w:r>
      <w:r w:rsidR="00086E87">
        <w:rPr>
          <w:rFonts w:ascii="DeutscheBank" w:hAnsi="DeutscheBank"/>
          <w:sz w:val="20"/>
          <w:szCs w:val="20"/>
        </w:rPr>
        <w:t xml:space="preserve"> Europa für widerstandsfähig</w:t>
      </w:r>
      <w:r w:rsidR="00873D08">
        <w:rPr>
          <w:rFonts w:ascii="DeutscheBank" w:hAnsi="DeutscheBank"/>
          <w:sz w:val="20"/>
          <w:szCs w:val="20"/>
        </w:rPr>
        <w:t>.</w:t>
      </w:r>
    </w:p>
    <w:p w14:paraId="3DA553FA" w14:textId="5C81F6B3" w:rsidR="0008751D" w:rsidRPr="00B15F78" w:rsidRDefault="00B15F78" w:rsidP="00B15F78">
      <w:pPr>
        <w:spacing w:after="150" w:line="288" w:lineRule="auto"/>
        <w:rPr>
          <w:rFonts w:ascii="DeutscheBank" w:hAnsi="DeutscheBank"/>
          <w:sz w:val="20"/>
          <w:szCs w:val="20"/>
        </w:rPr>
      </w:pPr>
      <w:r w:rsidRPr="00B15F78">
        <w:rPr>
          <w:rFonts w:ascii="DeutscheBank" w:hAnsi="DeutscheBank"/>
          <w:sz w:val="20"/>
          <w:szCs w:val="20"/>
        </w:rPr>
        <w:t xml:space="preserve">Zusammenfassend </w:t>
      </w:r>
      <w:r w:rsidR="15D125A6" w:rsidRPr="6098CAFD">
        <w:rPr>
          <w:rFonts w:ascii="DeutscheBank" w:hAnsi="DeutscheBank"/>
          <w:sz w:val="20"/>
          <w:szCs w:val="20"/>
        </w:rPr>
        <w:t xml:space="preserve">zeigen </w:t>
      </w:r>
      <w:r w:rsidRPr="00B15F78">
        <w:rPr>
          <w:rFonts w:ascii="DeutscheBank" w:hAnsi="DeutscheBank"/>
          <w:sz w:val="20"/>
          <w:szCs w:val="20"/>
        </w:rPr>
        <w:t xml:space="preserve">die Ergebnisse dieses Kapitels: Europa wird weltweit als attraktiver Standort wahrgenommen, </w:t>
      </w:r>
      <w:r w:rsidR="6C3EA30C" w:rsidRPr="4E8BFD94">
        <w:rPr>
          <w:rFonts w:ascii="DeutscheBank" w:hAnsi="DeutscheBank"/>
          <w:sz w:val="20"/>
          <w:szCs w:val="20"/>
        </w:rPr>
        <w:t>die Wertschätzung</w:t>
      </w:r>
      <w:r w:rsidRPr="00B15F78">
        <w:rPr>
          <w:rFonts w:ascii="DeutscheBank" w:hAnsi="DeutscheBank"/>
          <w:sz w:val="20"/>
          <w:szCs w:val="20"/>
        </w:rPr>
        <w:t xml:space="preserve"> wächst mit der Erfahrung der Investoren</w:t>
      </w:r>
      <w:r w:rsidR="2EE8E85D" w:rsidRPr="46E0B76E">
        <w:rPr>
          <w:rFonts w:ascii="DeutscheBank" w:hAnsi="DeutscheBank"/>
          <w:sz w:val="20"/>
          <w:szCs w:val="20"/>
        </w:rPr>
        <w:t xml:space="preserve">. Europas </w:t>
      </w:r>
      <w:r w:rsidRPr="00B15F78">
        <w:rPr>
          <w:rFonts w:ascii="DeutscheBank" w:hAnsi="DeutscheBank"/>
          <w:sz w:val="20"/>
          <w:szCs w:val="20"/>
        </w:rPr>
        <w:t xml:space="preserve">Bedeutung insgesamt nimmt zu und </w:t>
      </w:r>
      <w:r w:rsidR="1EA2288F" w:rsidRPr="46E0B76E">
        <w:rPr>
          <w:rFonts w:ascii="DeutscheBank" w:hAnsi="DeutscheBank"/>
          <w:sz w:val="20"/>
          <w:szCs w:val="20"/>
        </w:rPr>
        <w:t xml:space="preserve">die Befragten </w:t>
      </w:r>
      <w:r w:rsidRPr="6DE54E0C">
        <w:rPr>
          <w:rFonts w:ascii="DeutscheBank" w:hAnsi="DeutscheBank"/>
          <w:sz w:val="20"/>
          <w:szCs w:val="20"/>
        </w:rPr>
        <w:t>vertrau</w:t>
      </w:r>
      <w:r w:rsidR="09424A97" w:rsidRPr="6DE54E0C">
        <w:rPr>
          <w:rFonts w:ascii="DeutscheBank" w:hAnsi="DeutscheBank"/>
          <w:sz w:val="20"/>
          <w:szCs w:val="20"/>
        </w:rPr>
        <w:t>en</w:t>
      </w:r>
      <w:r w:rsidRPr="00B15F78">
        <w:rPr>
          <w:rFonts w:ascii="DeutscheBank" w:hAnsi="DeutscheBank"/>
          <w:sz w:val="20"/>
          <w:szCs w:val="20"/>
        </w:rPr>
        <w:t xml:space="preserve"> darauf, dass die Region auch unter Druck stabil bleibt</w:t>
      </w:r>
      <w:r w:rsidR="0008751D" w:rsidRPr="00B15F78">
        <w:rPr>
          <w:rFonts w:ascii="DeutscheBank" w:hAnsi="DeutscheBank"/>
          <w:sz w:val="20"/>
          <w:szCs w:val="20"/>
        </w:rPr>
        <w:t>.</w:t>
      </w:r>
    </w:p>
    <w:p w14:paraId="0A9381A1" w14:textId="77777777" w:rsidR="0008751D" w:rsidRPr="00B15F78" w:rsidRDefault="0008751D" w:rsidP="0008751D">
      <w:pPr>
        <w:rPr>
          <w:rFonts w:asciiTheme="minorHAnsi" w:eastAsiaTheme="minorHAnsi" w:hAnsiTheme="minorHAnsi" w:cstheme="minorBidi"/>
          <w:b/>
          <w:iCs/>
          <w:color w:val="000000" w:themeColor="text1"/>
          <w:sz w:val="20"/>
          <w:szCs w:val="18"/>
          <w:lang w:eastAsia="en-US"/>
          <w14:ligatures w14:val="standardContextual"/>
        </w:rPr>
      </w:pPr>
      <w:r w:rsidRPr="00B15F78">
        <w:br w:type="page"/>
      </w:r>
    </w:p>
    <w:p w14:paraId="747722D0" w14:textId="66894463" w:rsidR="00F70531" w:rsidRPr="009509CF" w:rsidRDefault="00D14F0B" w:rsidP="00AC4B8C">
      <w:pPr>
        <w:pStyle w:val="Copy"/>
        <w:rPr>
          <w:rFonts w:ascii="DeutscheBank" w:eastAsia="Arial" w:hAnsi="DeutscheBank" w:cs="Arial"/>
          <w:color w:val="222222"/>
          <w:lang w:val="de-DE" w:eastAsia="de-DE"/>
        </w:rPr>
      </w:pPr>
      <w:r w:rsidRPr="00206962">
        <w:rPr>
          <w:rFonts w:ascii="DeutscheBank" w:hAnsi="DeutscheBank"/>
          <w:b/>
          <w:lang w:val="de-DE"/>
        </w:rPr>
        <w:lastRenderedPageBreak/>
        <w:t>Abbildung</w:t>
      </w:r>
      <w:r w:rsidR="0008751D" w:rsidRPr="00206962">
        <w:rPr>
          <w:rFonts w:ascii="DeutscheBank" w:hAnsi="DeutscheBank"/>
          <w:b/>
          <w:lang w:val="de-DE"/>
        </w:rPr>
        <w:t xml:space="preserve"> 4: </w:t>
      </w:r>
      <w:r w:rsidRPr="00206962">
        <w:rPr>
          <w:rFonts w:ascii="DeutscheBank" w:hAnsi="DeutscheBank"/>
          <w:b/>
          <w:lang w:val="de-DE"/>
        </w:rPr>
        <w:t>Wahrgenommene Widerstandsfähigkeit Europa</w:t>
      </w:r>
      <w:r w:rsidR="08AF43DA" w:rsidRPr="66A1F2E1">
        <w:rPr>
          <w:rFonts w:ascii="DeutscheBank" w:hAnsi="DeutscheBank"/>
          <w:b/>
          <w:bCs/>
          <w:lang w:val="de-DE"/>
        </w:rPr>
        <w:t>s</w:t>
      </w:r>
      <w:r w:rsidR="7552F0FB" w:rsidRPr="7F7C9998">
        <w:rPr>
          <w:rFonts w:ascii="DeutscheBank" w:hAnsi="DeutscheBank"/>
          <w:b/>
          <w:bCs/>
          <w:lang w:val="de-DE"/>
        </w:rPr>
        <w:t xml:space="preserve">                                                                            </w:t>
      </w:r>
      <w:r w:rsidR="29BFB77B" w:rsidRPr="1DC6F10A">
        <w:rPr>
          <w:rFonts w:ascii="DeutscheBank" w:eastAsia="Arial" w:hAnsi="DeutscheBank" w:cs="Arial"/>
          <w:color w:val="222222"/>
          <w:lang w:val="de-DE" w:eastAsia="de-DE"/>
        </w:rPr>
        <w:t>Anteil der Top-2-Antworten auf einer 5-stufigen</w:t>
      </w:r>
      <w:r w:rsidR="002B4DC0">
        <w:rPr>
          <w:rFonts w:ascii="DeutscheBank" w:eastAsia="Arial" w:hAnsi="DeutscheBank" w:cs="Arial"/>
          <w:color w:val="222222"/>
          <w:lang w:val="de-DE" w:eastAsia="de-DE"/>
        </w:rPr>
        <w:t xml:space="preserve"> </w:t>
      </w:r>
      <w:r w:rsidR="29BFB77B" w:rsidRPr="1DC6F10A">
        <w:rPr>
          <w:rFonts w:ascii="DeutscheBank" w:eastAsia="Arial" w:hAnsi="DeutscheBank" w:cs="Arial"/>
          <w:color w:val="222222"/>
          <w:lang w:val="de-DE" w:eastAsia="de-DE"/>
        </w:rPr>
        <w:t>Skala (</w:t>
      </w:r>
      <w:r w:rsidR="62D14047" w:rsidRPr="7F7C9998">
        <w:rPr>
          <w:rFonts w:ascii="DeutscheBank" w:eastAsia="Arial" w:hAnsi="DeutscheBank" w:cs="Arial"/>
          <w:color w:val="222222"/>
          <w:lang w:val="de-DE" w:eastAsia="de-DE"/>
        </w:rPr>
        <w:t>alle Befragte und nach Regionen</w:t>
      </w:r>
      <w:r w:rsidR="29BFB77B" w:rsidRPr="1DC6F10A">
        <w:rPr>
          <w:rFonts w:ascii="DeutscheBank" w:eastAsia="Arial" w:hAnsi="DeutscheBank" w:cs="Arial"/>
          <w:color w:val="222222"/>
          <w:lang w:val="de-DE" w:eastAsia="de-DE"/>
        </w:rPr>
        <w:t>)</w:t>
      </w:r>
    </w:p>
    <w:p w14:paraId="6C7C3F54" w14:textId="652627BE" w:rsidR="00AC4B8C" w:rsidRPr="00AC4B8C" w:rsidRDefault="00AC4B8C" w:rsidP="00AC4B8C">
      <w:pPr>
        <w:keepNext/>
        <w:spacing w:before="140" w:after="40"/>
        <w:jc w:val="center"/>
        <w:rPr>
          <w:rFonts w:ascii="DeutscheBank" w:hAnsi="DeutscheBank"/>
        </w:rPr>
      </w:pPr>
      <w:r w:rsidRPr="00AC4B8C">
        <w:rPr>
          <w:rFonts w:ascii="DeutscheBank" w:hAnsi="DeutscheBank"/>
          <w:noProof/>
        </w:rPr>
        <w:drawing>
          <wp:inline distT="0" distB="0" distL="0" distR="0" wp14:anchorId="1B677EE8" wp14:editId="7E1C2756">
            <wp:extent cx="4375052" cy="2636991"/>
            <wp:effectExtent l="0" t="0" r="6985" b="0"/>
            <wp:docPr id="528521825" name="Grafik 12" descr="Gestapeltes Balkendiagramm zur regionalen Verteilung von „sehr widerstandsfähig“ und „eher widerstandsfähig“ für Gesamt, APAC, Naher Osten und Amerika. Naher Osten erreicht mit 82 % den höchsten Gesamtwert, gefolgt von Gesamt und APAC mit jeweils 71 % sowie Amerika mit 65 %; dunkelblau steht für „sehr widerstandsfähig“, hellblau für „eher widerstandsfäh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21825" name="Grafik 12" descr="Gestapeltes Balkendiagramm zur regionalen Verteilung von „sehr widerstandsfähig“ und „eher widerstandsfähig“ für Gesamt, APAC, Naher Osten und Amerika. Naher Osten erreicht mit 82 % den höchsten Gesamtwert, gefolgt von Gesamt und APAC mit jeweils 71 % sowie Amerika mit 65 %; dunkelblau steht für „sehr widerstandsfähig“, hellblau für „eher widerstandsfähi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8755" cy="2651278"/>
                    </a:xfrm>
                    <a:prstGeom prst="rect">
                      <a:avLst/>
                    </a:prstGeom>
                    <a:noFill/>
                    <a:ln>
                      <a:noFill/>
                    </a:ln>
                  </pic:spPr>
                </pic:pic>
              </a:graphicData>
            </a:graphic>
          </wp:inline>
        </w:drawing>
      </w:r>
    </w:p>
    <w:p w14:paraId="7CE7F61B" w14:textId="49774D1A" w:rsidR="00B00A95" w:rsidRPr="00B00A95" w:rsidRDefault="00B00A95" w:rsidP="00490D57">
      <w:pPr>
        <w:keepNext/>
        <w:spacing w:before="140" w:after="40"/>
        <w:jc w:val="center"/>
        <w:rPr>
          <w:rFonts w:ascii="DeutscheBank" w:hAnsi="DeutscheBank"/>
        </w:rPr>
      </w:pPr>
    </w:p>
    <w:p w14:paraId="36921AEB" w14:textId="246AE0F8" w:rsidR="000F72C2" w:rsidRPr="00941D04" w:rsidRDefault="000F72C2" w:rsidP="000F72C2">
      <w:pPr>
        <w:spacing w:after="180"/>
        <w:jc w:val="both"/>
        <w:rPr>
          <w:rFonts w:ascii="DeutscheBank" w:hAnsi="DeutscheBank"/>
          <w:color w:val="000000" w:themeColor="text1"/>
          <w:sz w:val="16"/>
          <w:szCs w:val="16"/>
        </w:rPr>
      </w:pPr>
      <w:bookmarkStart w:id="6" w:name="_Toc239930527"/>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52C711CE" w:rsidRPr="4B07A880">
        <w:rPr>
          <w:rFonts w:ascii="DeutscheBank" w:hAnsi="DeutscheBank"/>
          <w:color w:val="000000" w:themeColor="text1"/>
          <w:sz w:val="16"/>
          <w:szCs w:val="16"/>
        </w:rPr>
        <w:t>Basis</w:t>
      </w:r>
      <w:r w:rsidR="52C711CE" w:rsidRPr="4B07A880">
        <w:rPr>
          <w:rFonts w:ascii="DeutscheBank" w:hAnsi="DeutscheBank"/>
          <w:b/>
          <w:bCs/>
          <w:color w:val="000000" w:themeColor="text1"/>
          <w:sz w:val="16"/>
          <w:szCs w:val="16"/>
        </w:rPr>
        <w:t>:</w:t>
      </w:r>
      <w:r w:rsidR="52C711CE" w:rsidRPr="4B07A880">
        <w:rPr>
          <w:rFonts w:ascii="DeutscheBank" w:hAnsi="DeutscheBank"/>
          <w:color w:val="000000" w:themeColor="text1"/>
          <w:sz w:val="16"/>
          <w:szCs w:val="16"/>
        </w:rPr>
        <w:t xml:space="preserve"> n = 1,200 (</w:t>
      </w:r>
      <w:r w:rsidR="2D5A4D76" w:rsidRPr="4B07A880">
        <w:rPr>
          <w:rFonts w:ascii="DeutscheBank" w:hAnsi="DeutscheBank"/>
          <w:color w:val="000000" w:themeColor="text1"/>
          <w:sz w:val="16"/>
          <w:szCs w:val="16"/>
        </w:rPr>
        <w:t>APAC 600, Naher Osten 200, Amerika 400)</w:t>
      </w:r>
    </w:p>
    <w:p w14:paraId="4EC09B05" w14:textId="52B6205F" w:rsidR="0008751D" w:rsidRPr="001951E8" w:rsidRDefault="000526DD" w:rsidP="001951E8">
      <w:pPr>
        <w:pStyle w:val="Heading1"/>
        <w:pageBreakBefore/>
        <w:ind w:left="432"/>
        <w:rPr>
          <w:rFonts w:ascii="DeutscheBank" w:hAnsi="DeutscheBank"/>
          <w:sz w:val="28"/>
          <w:szCs w:val="28"/>
        </w:rPr>
      </w:pPr>
      <w:bookmarkStart w:id="7" w:name="_Toc240632247"/>
      <w:bookmarkEnd w:id="6"/>
      <w:r w:rsidRPr="001951E8">
        <w:rPr>
          <w:rFonts w:ascii="DeutscheBank" w:hAnsi="DeutscheBank"/>
          <w:sz w:val="28"/>
          <w:szCs w:val="28"/>
        </w:rPr>
        <w:lastRenderedPageBreak/>
        <w:t>Aus Vertrauen werden Investitionspläne</w:t>
      </w:r>
      <w:bookmarkEnd w:id="7"/>
    </w:p>
    <w:p w14:paraId="4E07DC4B" w14:textId="2EF247B9" w:rsidR="0008751D" w:rsidRPr="00637DC4" w:rsidRDefault="00637DC4" w:rsidP="00AA76E2">
      <w:pPr>
        <w:spacing w:after="150" w:line="288" w:lineRule="auto"/>
        <w:rPr>
          <w:rFonts w:ascii="DeutscheBank" w:hAnsi="DeutscheBank"/>
          <w:sz w:val="20"/>
          <w:szCs w:val="20"/>
        </w:rPr>
      </w:pPr>
      <w:r w:rsidRPr="00637DC4">
        <w:rPr>
          <w:rFonts w:ascii="DeutscheBank" w:hAnsi="DeutscheBank"/>
          <w:sz w:val="20"/>
          <w:szCs w:val="20"/>
        </w:rPr>
        <w:t xml:space="preserve">Europas </w:t>
      </w:r>
      <w:r w:rsidR="0786E130" w:rsidRPr="1DC6F10A">
        <w:rPr>
          <w:rFonts w:ascii="DeutscheBank" w:hAnsi="DeutscheBank"/>
          <w:sz w:val="20"/>
          <w:szCs w:val="20"/>
        </w:rPr>
        <w:t xml:space="preserve">hohes </w:t>
      </w:r>
      <w:r w:rsidRPr="00637DC4">
        <w:rPr>
          <w:rFonts w:ascii="DeutscheBank" w:hAnsi="DeutscheBank"/>
          <w:sz w:val="20"/>
          <w:szCs w:val="20"/>
        </w:rPr>
        <w:t xml:space="preserve">Ansehen bei den Investoren ist </w:t>
      </w:r>
      <w:r w:rsidR="0EEF79C9" w:rsidRPr="1DC6F10A">
        <w:rPr>
          <w:rFonts w:ascii="DeutscheBank" w:hAnsi="DeutscheBank"/>
          <w:sz w:val="20"/>
          <w:szCs w:val="20"/>
        </w:rPr>
        <w:t xml:space="preserve">wichtig </w:t>
      </w:r>
      <w:r w:rsidRPr="00637DC4">
        <w:rPr>
          <w:rFonts w:ascii="DeutscheBank" w:hAnsi="DeutscheBank"/>
          <w:sz w:val="20"/>
          <w:szCs w:val="20"/>
        </w:rPr>
        <w:t xml:space="preserve">– der tatsächliche Gradmesser für den Erfolg ist jedoch, ob </w:t>
      </w:r>
      <w:r w:rsidR="498E41C7" w:rsidRPr="1DC6F10A">
        <w:rPr>
          <w:rFonts w:ascii="DeutscheBank" w:hAnsi="DeutscheBank"/>
          <w:sz w:val="20"/>
          <w:szCs w:val="20"/>
        </w:rPr>
        <w:t xml:space="preserve">dies </w:t>
      </w:r>
      <w:r w:rsidRPr="00637DC4">
        <w:rPr>
          <w:rFonts w:ascii="DeutscheBank" w:hAnsi="DeutscheBank"/>
          <w:sz w:val="20"/>
          <w:szCs w:val="20"/>
        </w:rPr>
        <w:t xml:space="preserve">auch das </w:t>
      </w:r>
      <w:r w:rsidR="1209C264" w:rsidRPr="1DC6F10A">
        <w:rPr>
          <w:rFonts w:ascii="DeutscheBank" w:hAnsi="DeutscheBank"/>
          <w:sz w:val="20"/>
          <w:szCs w:val="20"/>
        </w:rPr>
        <w:t xml:space="preserve">tatsächliche </w:t>
      </w:r>
      <w:r w:rsidRPr="00637DC4">
        <w:rPr>
          <w:rFonts w:ascii="DeutscheBank" w:hAnsi="DeutscheBank"/>
          <w:sz w:val="20"/>
          <w:szCs w:val="20"/>
        </w:rPr>
        <w:t>Investitionsverhalten beeinflusst. Dieses Kapitel untersucht, wie sich die positive Grundstimmung in konkrete Absichten für Investitionen, Expansion und die Allokation von Ressourcen übersetzt. Die Ergebnisse deuten darauf hin, dass das Vertrauen der Investoren zunehmend in Investitionspläne mündet</w:t>
      </w:r>
      <w:r w:rsidR="0008751D" w:rsidRPr="00637DC4">
        <w:rPr>
          <w:rFonts w:ascii="DeutscheBank" w:hAnsi="DeutscheBank"/>
          <w:sz w:val="20"/>
          <w:szCs w:val="20"/>
        </w:rPr>
        <w:t xml:space="preserve">. </w:t>
      </w:r>
    </w:p>
    <w:p w14:paraId="1E9AFC0B" w14:textId="77777777" w:rsidR="0008751D" w:rsidRPr="00637DC4" w:rsidRDefault="0008751D" w:rsidP="0008751D">
      <w:pPr>
        <w:spacing w:after="150" w:line="288" w:lineRule="auto"/>
        <w:jc w:val="both"/>
        <w:rPr>
          <w:rFonts w:ascii="DeutscheBank" w:hAnsi="DeutscheBank"/>
        </w:rPr>
      </w:pPr>
    </w:p>
    <w:p w14:paraId="60561A1C" w14:textId="77777777" w:rsidR="0074507B" w:rsidRPr="00C90D62" w:rsidRDefault="0074507B" w:rsidP="0074507B">
      <w:pPr>
        <w:spacing w:before="40" w:after="90"/>
        <w:jc w:val="both"/>
        <w:rPr>
          <w:rFonts w:ascii="DeutscheBank" w:hAnsi="DeutscheBank"/>
          <w:lang w:val="en-US"/>
        </w:rPr>
      </w:pPr>
      <w:r w:rsidRPr="00C90D62">
        <w:rPr>
          <w:rFonts w:ascii="DeutscheBank" w:hAnsi="DeutscheBank"/>
          <w:b/>
          <w:caps/>
          <w:color w:val="5A6472"/>
          <w:sz w:val="18"/>
          <w:szCs w:val="18"/>
          <w:lang w:val="en-US"/>
        </w:rPr>
        <w:t>A</w:t>
      </w:r>
      <w:r>
        <w:rPr>
          <w:rFonts w:ascii="DeutscheBank" w:hAnsi="DeutscheBank"/>
          <w:b/>
          <w:caps/>
          <w:color w:val="5A6472"/>
          <w:sz w:val="18"/>
          <w:szCs w:val="18"/>
          <w:lang w:val="en-US"/>
        </w:rPr>
        <w:t>UF EINEN BLICK</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36"/>
        <w:gridCol w:w="3236"/>
        <w:gridCol w:w="3236"/>
      </w:tblGrid>
      <w:tr w:rsidR="0008751D" w:rsidRPr="009A1DAA" w14:paraId="42ABE444" w14:textId="77777777" w:rsidTr="009C2716">
        <w:trPr>
          <w:trHeight w:val="891"/>
        </w:trPr>
        <w:tc>
          <w:tcPr>
            <w:tcW w:w="3236" w:type="dxa"/>
            <w:tcBorders>
              <w:top w:val="single" w:sz="6" w:space="0" w:color="FFFFFF"/>
              <w:left w:val="single" w:sz="6" w:space="0" w:color="FFFFFF"/>
              <w:bottom w:val="single" w:sz="6" w:space="0" w:color="FFFFFF"/>
              <w:right w:val="single" w:sz="6" w:space="0" w:color="FFFFFF"/>
            </w:tcBorders>
            <w:shd w:val="clear" w:color="auto" w:fill="EEF3FA"/>
            <w:tcMar>
              <w:top w:w="120" w:type="dxa"/>
              <w:left w:w="120" w:type="dxa"/>
              <w:bottom w:w="120" w:type="dxa"/>
              <w:right w:w="120" w:type="dxa"/>
            </w:tcMar>
          </w:tcPr>
          <w:p w14:paraId="0C60556E" w14:textId="77777777" w:rsidR="0008751D" w:rsidRPr="000E3D12" w:rsidRDefault="0008751D" w:rsidP="009C2716">
            <w:pPr>
              <w:spacing w:after="40"/>
              <w:jc w:val="both"/>
              <w:rPr>
                <w:rFonts w:ascii="DeutscheBank" w:hAnsi="DeutscheBank"/>
              </w:rPr>
            </w:pPr>
            <w:r w:rsidRPr="000E3D12">
              <w:rPr>
                <w:rFonts w:ascii="DeutscheBank" w:hAnsi="DeutscheBank"/>
                <w:b/>
                <w:bCs/>
                <w:color w:val="0069B1"/>
                <w:sz w:val="30"/>
                <w:szCs w:val="30"/>
              </w:rPr>
              <w:t>61%</w:t>
            </w:r>
          </w:p>
          <w:p w14:paraId="66BA07F8" w14:textId="7C89F047" w:rsidR="0008751D" w:rsidRPr="00FD3ECB" w:rsidRDefault="00FD3ECB" w:rsidP="00FD3ECB">
            <w:pPr>
              <w:rPr>
                <w:rFonts w:ascii="DeutscheBank" w:hAnsi="DeutscheBank"/>
              </w:rPr>
            </w:pPr>
            <w:r w:rsidRPr="00FD3ECB">
              <w:rPr>
                <w:rFonts w:ascii="DeutscheBank" w:hAnsi="DeutscheBank"/>
                <w:color w:val="5A6472"/>
                <w:sz w:val="16"/>
                <w:szCs w:val="16"/>
              </w:rPr>
              <w:t xml:space="preserve">investieren bereits in Europa und planen, </w:t>
            </w:r>
            <w:r w:rsidR="00050F2A">
              <w:rPr>
                <w:rFonts w:ascii="DeutscheBank" w:hAnsi="DeutscheBank"/>
                <w:color w:val="5A6472"/>
                <w:sz w:val="16"/>
                <w:szCs w:val="16"/>
              </w:rPr>
              <w:t>hier zu expandieren</w:t>
            </w:r>
          </w:p>
        </w:tc>
        <w:tc>
          <w:tcPr>
            <w:tcW w:w="3236" w:type="dxa"/>
            <w:tcBorders>
              <w:top w:val="single" w:sz="6" w:space="0" w:color="FFFFFF"/>
              <w:left w:val="single" w:sz="6" w:space="0" w:color="FFFFFF"/>
              <w:bottom w:val="single" w:sz="6" w:space="0" w:color="FFFFFF"/>
              <w:right w:val="single" w:sz="6" w:space="0" w:color="FFFFFF"/>
            </w:tcBorders>
            <w:shd w:val="clear" w:color="auto" w:fill="EEF3FA"/>
            <w:tcMar>
              <w:top w:w="120" w:type="dxa"/>
              <w:left w:w="120" w:type="dxa"/>
              <w:bottom w:w="120" w:type="dxa"/>
              <w:right w:w="120" w:type="dxa"/>
            </w:tcMar>
          </w:tcPr>
          <w:p w14:paraId="09D098FA" w14:textId="77777777" w:rsidR="0008751D" w:rsidRPr="000E3D12" w:rsidRDefault="0008751D" w:rsidP="009C2716">
            <w:pPr>
              <w:spacing w:after="40"/>
              <w:jc w:val="both"/>
              <w:rPr>
                <w:rFonts w:ascii="DeutscheBank" w:hAnsi="DeutscheBank"/>
              </w:rPr>
            </w:pPr>
            <w:r w:rsidRPr="000E3D12">
              <w:rPr>
                <w:rFonts w:ascii="DeutscheBank" w:hAnsi="DeutscheBank"/>
                <w:b/>
                <w:bCs/>
                <w:color w:val="0069B1"/>
                <w:sz w:val="30"/>
                <w:szCs w:val="30"/>
              </w:rPr>
              <w:t>33%</w:t>
            </w:r>
          </w:p>
          <w:p w14:paraId="2289672B" w14:textId="3CFC6E60" w:rsidR="0008751D" w:rsidRPr="00B03348" w:rsidRDefault="00B03348" w:rsidP="00B03348">
            <w:pPr>
              <w:rPr>
                <w:rFonts w:ascii="DeutscheBank" w:hAnsi="DeutscheBank"/>
              </w:rPr>
            </w:pPr>
            <w:r w:rsidRPr="00B03348">
              <w:rPr>
                <w:rFonts w:ascii="DeutscheBank" w:hAnsi="DeutscheBank"/>
                <w:color w:val="5A6472"/>
                <w:sz w:val="16"/>
                <w:szCs w:val="16"/>
              </w:rPr>
              <w:t xml:space="preserve">planen </w:t>
            </w:r>
            <w:r w:rsidR="00E57B9E">
              <w:rPr>
                <w:rFonts w:ascii="DeutscheBank" w:hAnsi="DeutscheBank"/>
                <w:color w:val="5A6472"/>
                <w:sz w:val="16"/>
                <w:szCs w:val="16"/>
              </w:rPr>
              <w:t xml:space="preserve">oder erwägen </w:t>
            </w:r>
            <w:r w:rsidRPr="00B03348">
              <w:rPr>
                <w:rFonts w:ascii="DeutscheBank" w:hAnsi="DeutscheBank"/>
                <w:color w:val="5A6472"/>
                <w:sz w:val="16"/>
                <w:szCs w:val="16"/>
              </w:rPr>
              <w:t xml:space="preserve">einen Markteintritt </w:t>
            </w:r>
          </w:p>
        </w:tc>
        <w:tc>
          <w:tcPr>
            <w:tcW w:w="3236" w:type="dxa"/>
            <w:tcBorders>
              <w:top w:val="single" w:sz="6" w:space="0" w:color="FFFFFF"/>
              <w:left w:val="single" w:sz="6" w:space="0" w:color="FFFFFF"/>
              <w:bottom w:val="single" w:sz="6" w:space="0" w:color="FFFFFF"/>
              <w:right w:val="single" w:sz="6" w:space="0" w:color="FFFFFF"/>
            </w:tcBorders>
            <w:shd w:val="clear" w:color="auto" w:fill="EEF3FA"/>
            <w:tcMar>
              <w:top w:w="120" w:type="dxa"/>
              <w:left w:w="120" w:type="dxa"/>
              <w:bottom w:w="120" w:type="dxa"/>
              <w:right w:w="120" w:type="dxa"/>
            </w:tcMar>
          </w:tcPr>
          <w:p w14:paraId="0C47A6E1" w14:textId="77777777" w:rsidR="0008751D" w:rsidRPr="000E3D12" w:rsidRDefault="0008751D" w:rsidP="009C2716">
            <w:pPr>
              <w:spacing w:after="40"/>
              <w:jc w:val="both"/>
              <w:rPr>
                <w:rFonts w:ascii="DeutscheBank" w:hAnsi="DeutscheBank"/>
              </w:rPr>
            </w:pPr>
            <w:r w:rsidRPr="000E3D12">
              <w:rPr>
                <w:rFonts w:ascii="DeutscheBank" w:hAnsi="DeutscheBank"/>
                <w:b/>
                <w:bCs/>
                <w:color w:val="0069B1"/>
                <w:sz w:val="30"/>
                <w:szCs w:val="30"/>
              </w:rPr>
              <w:t>82%</w:t>
            </w:r>
          </w:p>
          <w:p w14:paraId="33D9B971" w14:textId="0030C6B4" w:rsidR="0008751D" w:rsidRPr="000A6B68" w:rsidRDefault="000A6B68" w:rsidP="000A6B68">
            <w:pPr>
              <w:rPr>
                <w:rFonts w:ascii="DeutscheBank" w:hAnsi="DeutscheBank"/>
              </w:rPr>
            </w:pPr>
            <w:r w:rsidRPr="000A6B68">
              <w:rPr>
                <w:rFonts w:ascii="DeutscheBank" w:hAnsi="DeutscheBank"/>
                <w:color w:val="5A6472"/>
                <w:sz w:val="16"/>
                <w:szCs w:val="16"/>
              </w:rPr>
              <w:t>der Unternehmen aus Amerika investieren bereits in Europa</w:t>
            </w:r>
          </w:p>
        </w:tc>
      </w:tr>
    </w:tbl>
    <w:p w14:paraId="5760D1BA" w14:textId="77777777" w:rsidR="0008751D" w:rsidRPr="000A6B68" w:rsidRDefault="0008751D" w:rsidP="0008751D">
      <w:pPr>
        <w:spacing w:after="80"/>
        <w:jc w:val="both"/>
        <w:rPr>
          <w:rFonts w:ascii="DeutscheBank" w:hAnsi="DeutscheBank"/>
        </w:rPr>
      </w:pPr>
    </w:p>
    <w:p w14:paraId="385AC249" w14:textId="4FECB0BB" w:rsidR="0008751D" w:rsidRPr="009C54FB" w:rsidRDefault="009C54FB" w:rsidP="00AA76E2">
      <w:pPr>
        <w:pStyle w:val="Heading2"/>
        <w:rPr>
          <w:rFonts w:ascii="DeutscheBank" w:hAnsi="DeutscheBank"/>
          <w:color w:val="000000" w:themeColor="text1"/>
          <w:sz w:val="20"/>
          <w:szCs w:val="20"/>
        </w:rPr>
      </w:pPr>
      <w:r w:rsidRPr="009C54FB">
        <w:rPr>
          <w:rFonts w:ascii="DeutscheBank" w:hAnsi="DeutscheBank"/>
          <w:color w:val="000000" w:themeColor="text1"/>
          <w:sz w:val="20"/>
          <w:szCs w:val="20"/>
        </w:rPr>
        <w:t>Aus Zuversicht wird Investitionsbereitschaft</w:t>
      </w:r>
    </w:p>
    <w:p w14:paraId="7B3CE3F8" w14:textId="558D001B" w:rsidR="00DA55DB" w:rsidRPr="00DA55DB" w:rsidRDefault="00DA55DB" w:rsidP="00DA55DB">
      <w:pPr>
        <w:spacing w:after="150" w:line="288" w:lineRule="auto"/>
        <w:rPr>
          <w:rFonts w:ascii="DeutscheBank" w:hAnsi="DeutscheBank"/>
          <w:sz w:val="20"/>
          <w:szCs w:val="20"/>
        </w:rPr>
      </w:pPr>
      <w:r w:rsidRPr="00DA55DB">
        <w:rPr>
          <w:rFonts w:ascii="DeutscheBank" w:hAnsi="DeutscheBank"/>
          <w:sz w:val="20"/>
          <w:szCs w:val="20"/>
        </w:rPr>
        <w:t xml:space="preserve">Unter </w:t>
      </w:r>
      <w:r w:rsidR="44C265A5" w:rsidRPr="1DC6F10A">
        <w:rPr>
          <w:rFonts w:ascii="DeutscheBank" w:hAnsi="DeutscheBank"/>
          <w:sz w:val="20"/>
          <w:szCs w:val="20"/>
        </w:rPr>
        <w:t xml:space="preserve">allen befragten </w:t>
      </w:r>
      <w:r w:rsidRPr="1DC6F10A">
        <w:rPr>
          <w:rFonts w:ascii="DeutscheBank" w:hAnsi="DeutscheBank"/>
          <w:sz w:val="20"/>
          <w:szCs w:val="20"/>
        </w:rPr>
        <w:t>Unternehmen</w:t>
      </w:r>
      <w:r w:rsidR="2D2B2680" w:rsidRPr="1DC6F10A">
        <w:rPr>
          <w:rFonts w:ascii="DeutscheBank" w:hAnsi="DeutscheBank"/>
          <w:sz w:val="20"/>
          <w:szCs w:val="20"/>
        </w:rPr>
        <w:t xml:space="preserve"> haben 61 Prozent bereits in Europa investiert und wollen </w:t>
      </w:r>
      <w:r w:rsidRPr="00DA55DB">
        <w:rPr>
          <w:rFonts w:ascii="DeutscheBank" w:hAnsi="DeutscheBank"/>
          <w:sz w:val="20"/>
          <w:szCs w:val="20"/>
        </w:rPr>
        <w:t xml:space="preserve">ihr Engagement innerhalb der nächsten fünf Jahre ausbauen. </w:t>
      </w:r>
      <w:r w:rsidR="0C0BB0E9" w:rsidRPr="1DC6F10A">
        <w:rPr>
          <w:rFonts w:ascii="DeutscheBank" w:hAnsi="DeutscheBank"/>
          <w:sz w:val="20"/>
          <w:szCs w:val="20"/>
        </w:rPr>
        <w:t xml:space="preserve">Nur 6 Prozent investieren bereits in Europa und haben keine weiteren Ausbaupläne. </w:t>
      </w:r>
      <w:r w:rsidRPr="00DA55DB">
        <w:rPr>
          <w:rFonts w:ascii="DeutscheBank" w:hAnsi="DeutscheBank"/>
          <w:sz w:val="20"/>
          <w:szCs w:val="20"/>
        </w:rPr>
        <w:t xml:space="preserve">33 Prozent </w:t>
      </w:r>
      <w:r w:rsidR="7283585C" w:rsidRPr="1DC6F10A">
        <w:rPr>
          <w:rFonts w:ascii="DeutscheBank" w:hAnsi="DeutscheBank"/>
          <w:sz w:val="20"/>
          <w:szCs w:val="20"/>
        </w:rPr>
        <w:t>aller Befragten sind noch nicht investiert,</w:t>
      </w:r>
      <w:r w:rsidRPr="1DC6F10A">
        <w:rPr>
          <w:rFonts w:ascii="DeutscheBank" w:hAnsi="DeutscheBank"/>
          <w:sz w:val="20"/>
          <w:szCs w:val="20"/>
        </w:rPr>
        <w:t xml:space="preserve"> </w:t>
      </w:r>
      <w:r w:rsidRPr="00DA55DB">
        <w:rPr>
          <w:rFonts w:ascii="DeutscheBank" w:hAnsi="DeutscheBank"/>
          <w:sz w:val="20"/>
          <w:szCs w:val="20"/>
        </w:rPr>
        <w:t xml:space="preserve">planen </w:t>
      </w:r>
      <w:r w:rsidR="49642CB1" w:rsidRPr="1DC6F10A">
        <w:rPr>
          <w:rFonts w:ascii="DeutscheBank" w:hAnsi="DeutscheBank"/>
          <w:sz w:val="20"/>
          <w:szCs w:val="20"/>
        </w:rPr>
        <w:t xml:space="preserve">oder prüfen </w:t>
      </w:r>
      <w:r w:rsidR="74CF2351" w:rsidRPr="1DC6F10A">
        <w:rPr>
          <w:rFonts w:ascii="DeutscheBank" w:hAnsi="DeutscheBank"/>
          <w:sz w:val="20"/>
          <w:szCs w:val="20"/>
        </w:rPr>
        <w:t xml:space="preserve">aber </w:t>
      </w:r>
      <w:r w:rsidRPr="00DA55DB">
        <w:rPr>
          <w:rFonts w:ascii="DeutscheBank" w:hAnsi="DeutscheBank"/>
          <w:sz w:val="20"/>
          <w:szCs w:val="20"/>
        </w:rPr>
        <w:t>einen Markteintritt. Die große Mehrheit der Unternehmen baut ihre Präsenz in Europa somit entweder aus oder bereitet den Markteintritt vor.</w:t>
      </w:r>
    </w:p>
    <w:p w14:paraId="65587E5F" w14:textId="07AF6528" w:rsidR="00520BD2" w:rsidRDefault="00DA55DB" w:rsidP="00DA55DB">
      <w:pPr>
        <w:spacing w:after="150" w:line="288" w:lineRule="auto"/>
        <w:rPr>
          <w:rFonts w:ascii="DeutscheBank" w:hAnsi="DeutscheBank"/>
          <w:sz w:val="20"/>
          <w:szCs w:val="20"/>
        </w:rPr>
      </w:pPr>
      <w:r w:rsidRPr="00DA55DB">
        <w:rPr>
          <w:rFonts w:ascii="DeutscheBank" w:hAnsi="DeutscheBank"/>
          <w:sz w:val="20"/>
          <w:szCs w:val="20"/>
        </w:rPr>
        <w:t xml:space="preserve">Mit zunehmender </w:t>
      </w:r>
      <w:r w:rsidR="1785079D" w:rsidRPr="1DC6F10A">
        <w:rPr>
          <w:rFonts w:ascii="DeutscheBank" w:hAnsi="DeutscheBank"/>
          <w:sz w:val="20"/>
          <w:szCs w:val="20"/>
        </w:rPr>
        <w:t>G</w:t>
      </w:r>
      <w:r w:rsidRPr="1DC6F10A">
        <w:rPr>
          <w:rFonts w:ascii="DeutscheBank" w:hAnsi="DeutscheBank"/>
          <w:sz w:val="20"/>
          <w:szCs w:val="20"/>
        </w:rPr>
        <w:t>röße</w:t>
      </w:r>
      <w:r w:rsidRPr="00DA55DB">
        <w:rPr>
          <w:rFonts w:ascii="DeutscheBank" w:hAnsi="DeutscheBank"/>
          <w:sz w:val="20"/>
          <w:szCs w:val="20"/>
        </w:rPr>
        <w:t xml:space="preserve"> steigt das Engagement in Europa: Rund drei Viertel der Unternehmen mit 500 oder mehr Beschäftigten investieren bereits in Europa, gegenüber etwa der Hälfte der Unternehmen mit 100 bis 249 Beschäftigten. </w:t>
      </w:r>
      <w:r w:rsidR="6E16B31E" w:rsidRPr="1DC6F10A">
        <w:rPr>
          <w:rFonts w:ascii="DeutscheBank" w:hAnsi="DeutscheBank"/>
          <w:sz w:val="20"/>
          <w:szCs w:val="20"/>
        </w:rPr>
        <w:t xml:space="preserve">Anders </w:t>
      </w:r>
      <w:r w:rsidR="660AD79B" w:rsidRPr="1DC6F10A">
        <w:rPr>
          <w:rFonts w:ascii="DeutscheBank" w:hAnsi="DeutscheBank"/>
          <w:sz w:val="20"/>
          <w:szCs w:val="20"/>
        </w:rPr>
        <w:t xml:space="preserve">ausgedrückt: </w:t>
      </w:r>
      <w:r w:rsidR="64D8F127" w:rsidRPr="1DC6F10A">
        <w:rPr>
          <w:rFonts w:ascii="DeutscheBank" w:hAnsi="DeutscheBank"/>
          <w:sz w:val="20"/>
          <w:szCs w:val="20"/>
        </w:rPr>
        <w:t>Nicht zuletzt</w:t>
      </w:r>
      <w:r w:rsidRPr="00DA55DB">
        <w:rPr>
          <w:rFonts w:ascii="DeutscheBank" w:hAnsi="DeutscheBank"/>
          <w:sz w:val="20"/>
          <w:szCs w:val="20"/>
        </w:rPr>
        <w:t xml:space="preserve"> bei mittelgroßen Unternehmen besteht noch erhebliches Potenzial für zusätzliche Investitionen in Europa</w:t>
      </w:r>
      <w:r w:rsidR="0008751D" w:rsidRPr="00DA55DB">
        <w:rPr>
          <w:rFonts w:ascii="DeutscheBank" w:hAnsi="DeutscheBank"/>
          <w:sz w:val="20"/>
          <w:szCs w:val="20"/>
        </w:rPr>
        <w:t>.</w:t>
      </w:r>
    </w:p>
    <w:p w14:paraId="386D929D" w14:textId="77777777" w:rsidR="001826BB" w:rsidRDefault="001826BB" w:rsidP="00014928">
      <w:pPr>
        <w:spacing w:after="150" w:line="240" w:lineRule="atLeast"/>
        <w:rPr>
          <w:rFonts w:ascii="DeutscheBank" w:hAnsi="DeutscheBank"/>
          <w:sz w:val="20"/>
          <w:szCs w:val="20"/>
        </w:rPr>
      </w:pPr>
    </w:p>
    <w:p w14:paraId="58B46506" w14:textId="0A690C12" w:rsidR="0008751D" w:rsidRPr="00014928" w:rsidRDefault="00DA55DB" w:rsidP="00014928">
      <w:pPr>
        <w:spacing w:after="160" w:line="240" w:lineRule="atLeast"/>
      </w:pPr>
      <w:r w:rsidRPr="00014928">
        <w:rPr>
          <w:rFonts w:asciiTheme="majorHAnsi" w:hAnsiTheme="majorHAnsi"/>
          <w:b/>
          <w:bCs/>
        </w:rPr>
        <w:t>Abbildung</w:t>
      </w:r>
      <w:r w:rsidR="0008751D" w:rsidRPr="00014928">
        <w:rPr>
          <w:rFonts w:asciiTheme="majorHAnsi" w:hAnsiTheme="majorHAnsi"/>
          <w:b/>
          <w:bCs/>
        </w:rPr>
        <w:t xml:space="preserve"> 5: </w:t>
      </w:r>
      <w:r w:rsidR="00AE1661" w:rsidRPr="00014928">
        <w:rPr>
          <w:rFonts w:asciiTheme="majorHAnsi" w:hAnsiTheme="majorHAnsi"/>
          <w:b/>
          <w:bCs/>
        </w:rPr>
        <w:t xml:space="preserve">Aktuelles und geplantes </w:t>
      </w:r>
      <w:r w:rsidR="3671AEAE" w:rsidRPr="00014928">
        <w:rPr>
          <w:rFonts w:asciiTheme="majorHAnsi" w:hAnsiTheme="majorHAnsi"/>
          <w:b/>
          <w:bCs/>
        </w:rPr>
        <w:t xml:space="preserve">Engagement in </w:t>
      </w:r>
      <w:r w:rsidR="00AE1661" w:rsidRPr="00014928">
        <w:rPr>
          <w:rFonts w:asciiTheme="majorHAnsi" w:hAnsiTheme="majorHAnsi"/>
          <w:b/>
          <w:bCs/>
        </w:rPr>
        <w:t>Europa</w:t>
      </w:r>
      <w:r w:rsidR="00B6621B">
        <w:tab/>
      </w:r>
      <w:r w:rsidR="00B6621B">
        <w:tab/>
      </w:r>
      <w:r w:rsidR="00B6621B">
        <w:tab/>
        <w:t xml:space="preserve">              </w:t>
      </w:r>
    </w:p>
    <w:p w14:paraId="16A35EB1" w14:textId="3D22800E" w:rsidR="0008751D" w:rsidRPr="00014928" w:rsidRDefault="00520BD2" w:rsidP="00014928">
      <w:pPr>
        <w:spacing w:after="160" w:line="240" w:lineRule="atLeast"/>
        <w:rPr>
          <w:rFonts w:asciiTheme="minorHAnsi" w:hAnsiTheme="minorHAnsi"/>
        </w:rPr>
      </w:pPr>
      <w:r w:rsidRPr="00014928">
        <w:rPr>
          <w:rFonts w:asciiTheme="minorHAnsi" w:hAnsiTheme="minorHAnsi"/>
        </w:rPr>
        <w:t>(a</w:t>
      </w:r>
      <w:r w:rsidR="0008751D" w:rsidRPr="00014928">
        <w:rPr>
          <w:rFonts w:asciiTheme="minorHAnsi" w:hAnsiTheme="minorHAnsi"/>
        </w:rPr>
        <w:t>ll</w:t>
      </w:r>
      <w:r w:rsidR="00DA55DB" w:rsidRPr="00014928">
        <w:rPr>
          <w:rFonts w:asciiTheme="minorHAnsi" w:hAnsiTheme="minorHAnsi"/>
        </w:rPr>
        <w:t>e Befragten</w:t>
      </w:r>
      <w:r w:rsidRPr="00014928">
        <w:rPr>
          <w:rFonts w:asciiTheme="minorHAnsi" w:hAnsiTheme="minorHAnsi"/>
        </w:rPr>
        <w:t>)</w:t>
      </w:r>
    </w:p>
    <w:p w14:paraId="698BA6B4" w14:textId="6E1768FD" w:rsidR="0043409A" w:rsidRPr="0043409A" w:rsidRDefault="0043409A" w:rsidP="0043409A">
      <w:pPr>
        <w:keepNext/>
        <w:spacing w:before="140" w:after="40"/>
        <w:jc w:val="center"/>
        <w:rPr>
          <w:rFonts w:ascii="DeutscheBank" w:hAnsi="DeutscheBank"/>
        </w:rPr>
      </w:pPr>
      <w:r w:rsidRPr="0043409A">
        <w:rPr>
          <w:rFonts w:ascii="DeutscheBank" w:hAnsi="DeutscheBank"/>
          <w:noProof/>
        </w:rPr>
        <w:drawing>
          <wp:anchor distT="0" distB="0" distL="114300" distR="114300" simplePos="0" relativeHeight="251658240" behindDoc="1" locked="0" layoutInCell="1" allowOverlap="1" wp14:anchorId="04EF408A" wp14:editId="55005C62">
            <wp:simplePos x="0" y="0"/>
            <wp:positionH relativeFrom="column">
              <wp:posOffset>534670</wp:posOffset>
            </wp:positionH>
            <wp:positionV relativeFrom="paragraph">
              <wp:posOffset>-1270</wp:posOffset>
            </wp:positionV>
            <wp:extent cx="4691106" cy="2743200"/>
            <wp:effectExtent l="0" t="0" r="0" b="0"/>
            <wp:wrapNone/>
            <wp:docPr id="1116240130" name="Grafik 16" descr="Kreis-Diagramm zur geplanten Expansion europäischer Unternehmen nach Zeithorizont und Marktstatus. 43 % bauen innerhalb von unter drei Jahren aus, 18 % innerhalb von drei bis fünf Jahren, 6 % planen keinen Ausbau, während 18 % noch nicht in Europa tätig sind und binnen drei Jahren eintreten wollen sowie 15 % einen Eintritt in drei bis fünf Jahren erwägen; Farblegende ordnet Kategorien der Seg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240130" name="Grafik 16" descr="Kreis-Diagramm zur geplanten Expansion europäischer Unternehmen nach Zeithorizont und Marktstatus. 43 % bauen innerhalb von unter drei Jahren aus, 18 % innerhalb von drei bis fünf Jahren, 6 % planen keinen Ausbau, während 18 % noch nicht in Europa tätig sind und binnen drei Jahren eintreten wollen sowie 15 % einen Eintritt in drei bis fünf Jahren erwägen; Farblegende ordnet Kategorien der Seg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1106"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EADC73" w14:textId="1B73A0EE" w:rsidR="00295C0E" w:rsidRPr="00295C0E" w:rsidRDefault="00295C0E" w:rsidP="00295C0E">
      <w:pPr>
        <w:keepNext/>
        <w:spacing w:before="140" w:after="40"/>
        <w:jc w:val="center"/>
        <w:rPr>
          <w:rFonts w:ascii="DeutscheBank" w:hAnsi="DeutscheBank"/>
        </w:rPr>
      </w:pPr>
    </w:p>
    <w:p w14:paraId="14745969" w14:textId="7817EDC2" w:rsidR="0008751D" w:rsidRPr="001E5405" w:rsidRDefault="0008751D" w:rsidP="0008751D">
      <w:pPr>
        <w:keepNext/>
        <w:spacing w:before="140" w:after="40"/>
        <w:jc w:val="center"/>
        <w:rPr>
          <w:rFonts w:ascii="DeutscheBank" w:hAnsi="DeutscheBank"/>
        </w:rPr>
      </w:pPr>
    </w:p>
    <w:p w14:paraId="538E9908" w14:textId="77777777" w:rsidR="0099731B" w:rsidRPr="00014928" w:rsidRDefault="0099731B" w:rsidP="00D03D15">
      <w:pPr>
        <w:spacing w:after="180"/>
        <w:jc w:val="both"/>
        <w:rPr>
          <w:rFonts w:ascii="DeutscheBank" w:hAnsi="DeutscheBank"/>
          <w:b/>
          <w:bCs/>
          <w:color w:val="000000" w:themeColor="text1"/>
          <w:sz w:val="16"/>
          <w:szCs w:val="16"/>
        </w:rPr>
      </w:pPr>
      <w:bookmarkStart w:id="8" w:name="_Toc239842191"/>
      <w:bookmarkStart w:id="9" w:name="_Toc239930529"/>
    </w:p>
    <w:p w14:paraId="52C23E51" w14:textId="77777777" w:rsidR="0099731B" w:rsidRPr="00014928" w:rsidRDefault="0099731B" w:rsidP="00D03D15">
      <w:pPr>
        <w:spacing w:after="180"/>
        <w:jc w:val="both"/>
        <w:rPr>
          <w:rFonts w:ascii="DeutscheBank" w:hAnsi="DeutscheBank"/>
          <w:b/>
          <w:bCs/>
          <w:color w:val="000000" w:themeColor="text1"/>
          <w:sz w:val="16"/>
          <w:szCs w:val="16"/>
        </w:rPr>
      </w:pPr>
    </w:p>
    <w:p w14:paraId="7E02FCC3" w14:textId="77777777" w:rsidR="0099731B" w:rsidRPr="00014928" w:rsidRDefault="0099731B" w:rsidP="00D03D15">
      <w:pPr>
        <w:spacing w:after="180"/>
        <w:jc w:val="both"/>
        <w:rPr>
          <w:rFonts w:ascii="DeutscheBank" w:hAnsi="DeutscheBank"/>
          <w:b/>
          <w:bCs/>
          <w:color w:val="000000" w:themeColor="text1"/>
          <w:sz w:val="16"/>
          <w:szCs w:val="16"/>
        </w:rPr>
      </w:pPr>
    </w:p>
    <w:p w14:paraId="7C87C438" w14:textId="77777777" w:rsidR="0099731B" w:rsidRPr="00014928" w:rsidRDefault="0099731B" w:rsidP="00D03D15">
      <w:pPr>
        <w:spacing w:after="180"/>
        <w:jc w:val="both"/>
        <w:rPr>
          <w:rFonts w:ascii="DeutscheBank" w:hAnsi="DeutscheBank"/>
          <w:b/>
          <w:bCs/>
          <w:color w:val="000000" w:themeColor="text1"/>
          <w:sz w:val="16"/>
          <w:szCs w:val="16"/>
        </w:rPr>
      </w:pPr>
    </w:p>
    <w:p w14:paraId="10AF367D" w14:textId="77777777" w:rsidR="0099731B" w:rsidRPr="00014928" w:rsidRDefault="0099731B" w:rsidP="00D03D15">
      <w:pPr>
        <w:spacing w:after="180"/>
        <w:jc w:val="both"/>
        <w:rPr>
          <w:rFonts w:ascii="DeutscheBank" w:hAnsi="DeutscheBank"/>
          <w:b/>
          <w:bCs/>
          <w:color w:val="000000" w:themeColor="text1"/>
          <w:sz w:val="16"/>
          <w:szCs w:val="16"/>
        </w:rPr>
      </w:pPr>
    </w:p>
    <w:p w14:paraId="6E6E4D34" w14:textId="77777777" w:rsidR="0099731B" w:rsidRPr="00014928" w:rsidRDefault="0099731B" w:rsidP="00D03D15">
      <w:pPr>
        <w:spacing w:after="180"/>
        <w:jc w:val="both"/>
        <w:rPr>
          <w:rFonts w:ascii="DeutscheBank" w:hAnsi="DeutscheBank"/>
          <w:b/>
          <w:bCs/>
          <w:color w:val="000000" w:themeColor="text1"/>
          <w:sz w:val="16"/>
          <w:szCs w:val="16"/>
        </w:rPr>
      </w:pPr>
    </w:p>
    <w:p w14:paraId="5E192520" w14:textId="77777777" w:rsidR="0099731B" w:rsidRPr="00014928" w:rsidRDefault="0099731B" w:rsidP="00D03D15">
      <w:pPr>
        <w:spacing w:after="180"/>
        <w:jc w:val="both"/>
        <w:rPr>
          <w:rFonts w:ascii="DeutscheBank" w:hAnsi="DeutscheBank"/>
          <w:b/>
          <w:bCs/>
          <w:color w:val="000000" w:themeColor="text1"/>
          <w:sz w:val="16"/>
          <w:szCs w:val="16"/>
        </w:rPr>
      </w:pPr>
    </w:p>
    <w:p w14:paraId="3BA3099D" w14:textId="77777777" w:rsidR="0099731B" w:rsidRPr="00014928" w:rsidRDefault="0099731B" w:rsidP="00D03D15">
      <w:pPr>
        <w:spacing w:after="180"/>
        <w:jc w:val="both"/>
        <w:rPr>
          <w:rFonts w:ascii="DeutscheBank" w:hAnsi="DeutscheBank"/>
          <w:b/>
          <w:bCs/>
          <w:color w:val="000000" w:themeColor="text1"/>
          <w:sz w:val="16"/>
          <w:szCs w:val="16"/>
        </w:rPr>
      </w:pPr>
    </w:p>
    <w:p w14:paraId="7D15A673" w14:textId="77777777" w:rsidR="0099731B" w:rsidRPr="00014928" w:rsidRDefault="0099731B" w:rsidP="00D03D15">
      <w:pPr>
        <w:spacing w:after="180"/>
        <w:jc w:val="both"/>
        <w:rPr>
          <w:rFonts w:ascii="DeutscheBank" w:hAnsi="DeutscheBank"/>
          <w:b/>
          <w:bCs/>
          <w:color w:val="000000" w:themeColor="text1"/>
          <w:sz w:val="16"/>
          <w:szCs w:val="16"/>
        </w:rPr>
      </w:pPr>
    </w:p>
    <w:p w14:paraId="693C20F8" w14:textId="414487AC" w:rsidR="0099731B" w:rsidRDefault="00D03D15" w:rsidP="00D03D15">
      <w:pPr>
        <w:spacing w:after="180"/>
        <w:jc w:val="both"/>
        <w:rPr>
          <w:rFonts w:ascii="DeutscheBank" w:hAnsi="DeutscheBank"/>
          <w:color w:val="000000" w:themeColor="text1"/>
          <w:sz w:val="16"/>
          <w:szCs w:val="16"/>
          <w:lang w:val="en-US"/>
        </w:rPr>
      </w:pPr>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014928">
        <w:rPr>
          <w:rFonts w:ascii="DeutscheBank" w:hAnsi="DeutscheBank"/>
          <w:color w:val="000000" w:themeColor="text1"/>
          <w:sz w:val="16"/>
          <w:szCs w:val="16"/>
          <w:lang w:val="en-US"/>
        </w:rPr>
        <w:t>Basis</w:t>
      </w:r>
      <w:r w:rsidRPr="00014928">
        <w:rPr>
          <w:rFonts w:ascii="DeutscheBank" w:hAnsi="DeutscheBank"/>
          <w:b/>
          <w:bCs/>
          <w:color w:val="000000" w:themeColor="text1"/>
          <w:sz w:val="16"/>
          <w:szCs w:val="16"/>
          <w:lang w:val="en-US"/>
        </w:rPr>
        <w:t>:</w:t>
      </w:r>
      <w:r w:rsidRPr="00014928">
        <w:rPr>
          <w:rFonts w:ascii="DeutscheBank" w:hAnsi="DeutscheBank"/>
          <w:color w:val="000000" w:themeColor="text1"/>
          <w:sz w:val="16"/>
          <w:szCs w:val="16"/>
          <w:lang w:val="en-US"/>
        </w:rPr>
        <w:t xml:space="preserve"> n = 1,200</w:t>
      </w:r>
    </w:p>
    <w:p w14:paraId="38197517" w14:textId="3D2E6EDC" w:rsidR="00D03D15" w:rsidRPr="00014928" w:rsidRDefault="0099731B" w:rsidP="00014928">
      <w:pPr>
        <w:spacing w:after="160" w:line="24" w:lineRule="auto"/>
        <w:rPr>
          <w:rFonts w:ascii="DeutscheBank" w:hAnsi="DeutscheBank"/>
          <w:color w:val="000000" w:themeColor="text1"/>
          <w:sz w:val="16"/>
          <w:szCs w:val="16"/>
          <w:lang w:val="en-US"/>
        </w:rPr>
      </w:pPr>
      <w:r>
        <w:rPr>
          <w:rFonts w:ascii="DeutscheBank" w:hAnsi="DeutscheBank"/>
          <w:color w:val="000000" w:themeColor="text1"/>
          <w:sz w:val="16"/>
          <w:szCs w:val="16"/>
          <w:lang w:val="en-US"/>
        </w:rPr>
        <w:br w:type="page"/>
      </w:r>
    </w:p>
    <w:p w14:paraId="258F96BC" w14:textId="43ADB66B" w:rsidR="00420533" w:rsidRPr="00014928" w:rsidRDefault="00420533">
      <w:pPr>
        <w:spacing w:after="160" w:line="24" w:lineRule="auto"/>
        <w:rPr>
          <w:rFonts w:ascii="DeutscheBank" w:hAnsi="DeutscheBank"/>
          <w:b/>
          <w:bCs/>
          <w:color w:val="000000" w:themeColor="text1"/>
          <w:sz w:val="16"/>
          <w:szCs w:val="16"/>
          <w:lang w:val="en-US"/>
        </w:rPr>
      </w:pPr>
    </w:p>
    <w:p w14:paraId="0B01826B" w14:textId="0C3698C6" w:rsidR="0008751D" w:rsidRPr="009B7880" w:rsidRDefault="009B7880" w:rsidP="0008751D">
      <w:pPr>
        <w:pStyle w:val="Heading2"/>
        <w:jc w:val="both"/>
        <w:rPr>
          <w:rFonts w:ascii="DeutscheBank" w:hAnsi="DeutscheBank"/>
          <w:color w:val="000000" w:themeColor="text1"/>
          <w:sz w:val="20"/>
          <w:szCs w:val="20"/>
        </w:rPr>
      </w:pPr>
      <w:r w:rsidRPr="009B7880">
        <w:rPr>
          <w:rFonts w:ascii="DeutscheBank" w:hAnsi="DeutscheBank"/>
          <w:color w:val="000000" w:themeColor="text1"/>
          <w:sz w:val="20"/>
          <w:szCs w:val="20"/>
        </w:rPr>
        <w:t xml:space="preserve">Die Investitionstiefe unterscheidet sich je nach Region </w:t>
      </w:r>
      <w:bookmarkEnd w:id="8"/>
      <w:bookmarkEnd w:id="9"/>
    </w:p>
    <w:p w14:paraId="1D61E828" w14:textId="1F94E31B" w:rsidR="00F626B8" w:rsidRPr="00F626B8" w:rsidRDefault="00F626B8" w:rsidP="00F626B8">
      <w:pPr>
        <w:spacing w:after="150" w:line="288" w:lineRule="auto"/>
        <w:rPr>
          <w:rFonts w:ascii="DeutscheBank" w:hAnsi="DeutscheBank"/>
          <w:sz w:val="20"/>
          <w:szCs w:val="20"/>
        </w:rPr>
      </w:pPr>
      <w:r w:rsidRPr="00F626B8">
        <w:rPr>
          <w:rFonts w:ascii="DeutscheBank" w:hAnsi="DeutscheBank"/>
          <w:sz w:val="20"/>
          <w:szCs w:val="20"/>
        </w:rPr>
        <w:t xml:space="preserve">Die Ausgangslage </w:t>
      </w:r>
      <w:r w:rsidR="05747EC6" w:rsidRPr="1DC6F10A">
        <w:rPr>
          <w:rFonts w:ascii="DeutscheBank" w:hAnsi="DeutscheBank"/>
          <w:sz w:val="20"/>
          <w:szCs w:val="20"/>
        </w:rPr>
        <w:t xml:space="preserve">bei </w:t>
      </w:r>
      <w:r w:rsidRPr="00F626B8">
        <w:rPr>
          <w:rFonts w:ascii="DeutscheBank" w:hAnsi="DeutscheBank"/>
          <w:sz w:val="20"/>
          <w:szCs w:val="20"/>
        </w:rPr>
        <w:t xml:space="preserve">Investitionen </w:t>
      </w:r>
      <w:r w:rsidR="08F8255D" w:rsidRPr="1DC6F10A">
        <w:rPr>
          <w:rFonts w:ascii="DeutscheBank" w:hAnsi="DeutscheBank"/>
          <w:sz w:val="20"/>
          <w:szCs w:val="20"/>
        </w:rPr>
        <w:t xml:space="preserve">in Europa </w:t>
      </w:r>
      <w:r w:rsidRPr="00F626B8">
        <w:rPr>
          <w:rFonts w:ascii="DeutscheBank" w:hAnsi="DeutscheBank"/>
          <w:sz w:val="20"/>
          <w:szCs w:val="20"/>
        </w:rPr>
        <w:t>variiert zwischen den Regionen</w:t>
      </w:r>
      <w:r w:rsidR="2B0AB945" w:rsidRPr="1DC6F10A">
        <w:rPr>
          <w:rFonts w:ascii="DeutscheBank" w:hAnsi="DeutscheBank"/>
          <w:sz w:val="20"/>
          <w:szCs w:val="20"/>
        </w:rPr>
        <w:t>.</w:t>
      </w:r>
      <w:r w:rsidRPr="00F626B8">
        <w:rPr>
          <w:rFonts w:ascii="DeutscheBank" w:hAnsi="DeutscheBank"/>
          <w:sz w:val="20"/>
          <w:szCs w:val="20"/>
        </w:rPr>
        <w:t xml:space="preserve"> Unternehmen aus </w:t>
      </w:r>
      <w:r w:rsidR="3A901D00" w:rsidRPr="1DC6F10A">
        <w:rPr>
          <w:rFonts w:ascii="DeutscheBank" w:hAnsi="DeutscheBank"/>
          <w:sz w:val="20"/>
          <w:szCs w:val="20"/>
        </w:rPr>
        <w:t>A</w:t>
      </w:r>
      <w:r w:rsidRPr="00F626B8">
        <w:rPr>
          <w:rFonts w:ascii="DeutscheBank" w:hAnsi="DeutscheBank"/>
          <w:sz w:val="20"/>
          <w:szCs w:val="20"/>
        </w:rPr>
        <w:t>merika (</w:t>
      </w:r>
      <w:r w:rsidRPr="1DC6F10A" w:rsidDel="00F626B8">
        <w:rPr>
          <w:rFonts w:ascii="DeutscheBank" w:hAnsi="DeutscheBank"/>
          <w:sz w:val="20"/>
          <w:szCs w:val="20"/>
        </w:rPr>
        <w:t xml:space="preserve">also </w:t>
      </w:r>
      <w:r w:rsidRPr="00F626B8">
        <w:rPr>
          <w:rFonts w:ascii="DeutscheBank" w:hAnsi="DeutscheBank"/>
          <w:sz w:val="20"/>
          <w:szCs w:val="20"/>
        </w:rPr>
        <w:t>USA, Kanada, Mexiko und Brasilien) verfügen über die stärkste Präsenz in Europa: 82 Prozent haben hier bereits investiert. Der Nahe Osten folgt mit 74 Prozent</w:t>
      </w:r>
      <w:r w:rsidR="58D999F2" w:rsidRPr="1DC6F10A">
        <w:rPr>
          <w:rFonts w:ascii="DeutscheBank" w:hAnsi="DeutscheBank"/>
          <w:sz w:val="20"/>
          <w:szCs w:val="20"/>
        </w:rPr>
        <w:t>. Asien-Pazifik bietet</w:t>
      </w:r>
      <w:r w:rsidRPr="00F626B8">
        <w:rPr>
          <w:rFonts w:ascii="DeutscheBank" w:hAnsi="DeutscheBank"/>
          <w:sz w:val="20"/>
          <w:szCs w:val="20"/>
        </w:rPr>
        <w:t xml:space="preserve"> </w:t>
      </w:r>
      <w:r w:rsidR="32049D7D" w:rsidRPr="1DC6F10A">
        <w:rPr>
          <w:rFonts w:ascii="DeutscheBank" w:hAnsi="DeutscheBank"/>
          <w:sz w:val="20"/>
          <w:szCs w:val="20"/>
        </w:rPr>
        <w:t xml:space="preserve">großes </w:t>
      </w:r>
      <w:r w:rsidRPr="00F626B8">
        <w:rPr>
          <w:rFonts w:ascii="DeutscheBank" w:hAnsi="DeutscheBank"/>
          <w:sz w:val="20"/>
          <w:szCs w:val="20"/>
        </w:rPr>
        <w:t xml:space="preserve">Zukunftspotenzial: </w:t>
      </w:r>
      <w:r w:rsidR="2A06944D" w:rsidRPr="1DC6F10A">
        <w:rPr>
          <w:rFonts w:ascii="DeutscheBank" w:hAnsi="DeutscheBank"/>
          <w:sz w:val="20"/>
          <w:szCs w:val="20"/>
        </w:rPr>
        <w:t>Aktuell haben</w:t>
      </w:r>
      <w:r w:rsidRPr="00F626B8">
        <w:rPr>
          <w:rFonts w:ascii="DeutscheBank" w:hAnsi="DeutscheBank"/>
          <w:sz w:val="20"/>
          <w:szCs w:val="20"/>
        </w:rPr>
        <w:t xml:space="preserve"> 55 Prozent in Europa </w:t>
      </w:r>
      <w:r w:rsidRPr="1DC6F10A">
        <w:rPr>
          <w:rFonts w:ascii="DeutscheBank" w:hAnsi="DeutscheBank"/>
          <w:sz w:val="20"/>
          <w:szCs w:val="20"/>
        </w:rPr>
        <w:t>investier</w:t>
      </w:r>
      <w:r w:rsidR="2EAC5D73" w:rsidRPr="1DC6F10A">
        <w:rPr>
          <w:rFonts w:ascii="DeutscheBank" w:hAnsi="DeutscheBank"/>
          <w:sz w:val="20"/>
          <w:szCs w:val="20"/>
        </w:rPr>
        <w:t>t</w:t>
      </w:r>
      <w:r w:rsidR="0E03A73B" w:rsidRPr="1DC6F10A">
        <w:rPr>
          <w:rFonts w:ascii="DeutscheBank" w:hAnsi="DeutscheBank"/>
          <w:sz w:val="20"/>
          <w:szCs w:val="20"/>
        </w:rPr>
        <w:t xml:space="preserve"> – </w:t>
      </w:r>
      <w:r w:rsidR="5F466ACC" w:rsidRPr="1DC6F10A">
        <w:rPr>
          <w:rFonts w:ascii="DeutscheBank" w:hAnsi="DeutscheBank"/>
          <w:sz w:val="20"/>
          <w:szCs w:val="20"/>
        </w:rPr>
        <w:t xml:space="preserve">und </w:t>
      </w:r>
      <w:r w:rsidR="0E03A73B" w:rsidRPr="1DC6F10A">
        <w:rPr>
          <w:rFonts w:ascii="DeutscheBank" w:hAnsi="DeutscheBank"/>
          <w:sz w:val="20"/>
          <w:szCs w:val="20"/>
        </w:rPr>
        <w:t xml:space="preserve">die </w:t>
      </w:r>
      <w:r w:rsidRPr="00F626B8">
        <w:rPr>
          <w:rFonts w:ascii="DeutscheBank" w:hAnsi="DeutscheBank"/>
          <w:sz w:val="20"/>
          <w:szCs w:val="20"/>
        </w:rPr>
        <w:t xml:space="preserve">Region verzeichnet den größten Anteil an Unternehmen, die einen Markteintritt planen. </w:t>
      </w:r>
    </w:p>
    <w:p w14:paraId="76D80ECC" w14:textId="44A54ABA" w:rsidR="0008751D" w:rsidRDefault="00F626B8" w:rsidP="00F626B8">
      <w:pPr>
        <w:spacing w:after="150" w:line="288" w:lineRule="auto"/>
        <w:rPr>
          <w:rFonts w:ascii="DeutscheBank" w:hAnsi="DeutscheBank"/>
          <w:sz w:val="20"/>
          <w:szCs w:val="20"/>
        </w:rPr>
      </w:pPr>
      <w:r w:rsidRPr="00F626B8">
        <w:rPr>
          <w:rFonts w:ascii="DeutscheBank" w:hAnsi="DeutscheBank"/>
          <w:sz w:val="20"/>
          <w:szCs w:val="20"/>
        </w:rPr>
        <w:t xml:space="preserve">Für die Interpretation </w:t>
      </w:r>
      <w:r w:rsidR="11B8AAB9" w:rsidRPr="1DC6F10A">
        <w:rPr>
          <w:rFonts w:ascii="DeutscheBank" w:hAnsi="DeutscheBank"/>
          <w:sz w:val="20"/>
          <w:szCs w:val="20"/>
        </w:rPr>
        <w:t xml:space="preserve">der </w:t>
      </w:r>
      <w:r w:rsidRPr="00F626B8">
        <w:rPr>
          <w:rFonts w:ascii="DeutscheBank" w:hAnsi="DeutscheBank"/>
          <w:sz w:val="20"/>
          <w:szCs w:val="20"/>
        </w:rPr>
        <w:t xml:space="preserve">Ergebnisse </w:t>
      </w:r>
      <w:r w:rsidR="2EE249F2" w:rsidRPr="1DC6F10A">
        <w:rPr>
          <w:rFonts w:ascii="DeutscheBank" w:hAnsi="DeutscheBank"/>
          <w:sz w:val="20"/>
          <w:szCs w:val="20"/>
        </w:rPr>
        <w:t>dieser Befragung</w:t>
      </w:r>
      <w:r w:rsidRPr="1DC6F10A">
        <w:rPr>
          <w:rFonts w:ascii="DeutscheBank" w:hAnsi="DeutscheBank"/>
          <w:sz w:val="20"/>
          <w:szCs w:val="20"/>
        </w:rPr>
        <w:t xml:space="preserve"> </w:t>
      </w:r>
      <w:r w:rsidRPr="00F626B8">
        <w:rPr>
          <w:rFonts w:ascii="DeutscheBank" w:hAnsi="DeutscheBank"/>
          <w:sz w:val="20"/>
          <w:szCs w:val="20"/>
        </w:rPr>
        <w:t xml:space="preserve">ist der regionale Kontext wichtig. Daraus ergeben sich je nach Weltregion unterschiedliche Schwerpunkte im </w:t>
      </w:r>
      <w:r w:rsidRPr="1DC6F10A">
        <w:rPr>
          <w:rFonts w:ascii="DeutscheBank" w:hAnsi="DeutscheBank"/>
          <w:sz w:val="20"/>
          <w:szCs w:val="20"/>
        </w:rPr>
        <w:t>Um</w:t>
      </w:r>
      <w:r w:rsidR="0CB2D3AB" w:rsidRPr="1DC6F10A">
        <w:rPr>
          <w:rFonts w:ascii="DeutscheBank" w:hAnsi="DeutscheBank"/>
          <w:sz w:val="20"/>
          <w:szCs w:val="20"/>
        </w:rPr>
        <w:t>g</w:t>
      </w:r>
      <w:r w:rsidRPr="1DC6F10A">
        <w:rPr>
          <w:rFonts w:ascii="DeutscheBank" w:hAnsi="DeutscheBank"/>
          <w:sz w:val="20"/>
          <w:szCs w:val="20"/>
        </w:rPr>
        <w:t>ang</w:t>
      </w:r>
      <w:r w:rsidRPr="00F626B8">
        <w:rPr>
          <w:rFonts w:ascii="DeutscheBank" w:hAnsi="DeutscheBank"/>
          <w:sz w:val="20"/>
          <w:szCs w:val="20"/>
        </w:rPr>
        <w:t xml:space="preserve"> mit (</w:t>
      </w:r>
      <w:r w:rsidR="663DE4FC" w:rsidRPr="1DC6F10A">
        <w:rPr>
          <w:rFonts w:ascii="DeutscheBank" w:hAnsi="DeutscheBank"/>
          <w:sz w:val="20"/>
          <w:szCs w:val="20"/>
        </w:rPr>
        <w:t>potenziellen</w:t>
      </w:r>
      <w:r w:rsidRPr="00F626B8">
        <w:rPr>
          <w:rFonts w:ascii="DeutscheBank" w:hAnsi="DeutscheBank"/>
          <w:sz w:val="20"/>
          <w:szCs w:val="20"/>
        </w:rPr>
        <w:t xml:space="preserve">) Investoren: </w:t>
      </w:r>
      <w:r w:rsidR="4A4AD50D" w:rsidRPr="0B99B140">
        <w:rPr>
          <w:rFonts w:ascii="DeutscheBank" w:hAnsi="DeutscheBank"/>
          <w:sz w:val="20"/>
          <w:szCs w:val="20"/>
        </w:rPr>
        <w:t>M</w:t>
      </w:r>
      <w:r w:rsidRPr="0B99B140">
        <w:rPr>
          <w:rFonts w:ascii="DeutscheBank" w:hAnsi="DeutscheBank"/>
          <w:sz w:val="20"/>
          <w:szCs w:val="20"/>
        </w:rPr>
        <w:t>it</w:t>
      </w:r>
      <w:r w:rsidRPr="00F626B8">
        <w:rPr>
          <w:rFonts w:ascii="DeutscheBank" w:hAnsi="DeutscheBank"/>
          <w:sz w:val="20"/>
          <w:szCs w:val="20"/>
        </w:rPr>
        <w:t xml:space="preserve"> Blick auf Amerika </w:t>
      </w:r>
      <w:r w:rsidR="60316ED5" w:rsidRPr="422D2F54">
        <w:rPr>
          <w:rFonts w:ascii="DeutscheBank" w:hAnsi="DeutscheBank"/>
          <w:sz w:val="20"/>
          <w:szCs w:val="20"/>
        </w:rPr>
        <w:t xml:space="preserve">geht </w:t>
      </w:r>
      <w:r w:rsidRPr="00F626B8">
        <w:rPr>
          <w:rFonts w:ascii="DeutscheBank" w:hAnsi="DeutscheBank"/>
          <w:sz w:val="20"/>
          <w:szCs w:val="20"/>
        </w:rPr>
        <w:t xml:space="preserve">vor allem darum, die Beziehungen zu den bereits in Europa </w:t>
      </w:r>
      <w:r w:rsidR="004A7231">
        <w:rPr>
          <w:rFonts w:ascii="DeutscheBank" w:hAnsi="DeutscheBank"/>
          <w:sz w:val="20"/>
          <w:szCs w:val="20"/>
        </w:rPr>
        <w:t>etablierten</w:t>
      </w:r>
      <w:r w:rsidR="004A7231" w:rsidRPr="00F626B8">
        <w:rPr>
          <w:rFonts w:ascii="DeutscheBank" w:hAnsi="DeutscheBank"/>
          <w:sz w:val="20"/>
          <w:szCs w:val="20"/>
        </w:rPr>
        <w:t xml:space="preserve"> </w:t>
      </w:r>
      <w:r w:rsidRPr="00F626B8">
        <w:rPr>
          <w:rFonts w:ascii="DeutscheBank" w:hAnsi="DeutscheBank"/>
          <w:sz w:val="20"/>
          <w:szCs w:val="20"/>
        </w:rPr>
        <w:t>Investoren weiter zu vertiefen</w:t>
      </w:r>
      <w:r w:rsidR="3F44C21B" w:rsidRPr="0702B042">
        <w:rPr>
          <w:rFonts w:ascii="DeutscheBank" w:hAnsi="DeutscheBank"/>
          <w:sz w:val="20"/>
          <w:szCs w:val="20"/>
        </w:rPr>
        <w:t xml:space="preserve">. </w:t>
      </w:r>
      <w:r w:rsidR="0A7BEE01" w:rsidRPr="0702B042">
        <w:rPr>
          <w:rFonts w:ascii="DeutscheBank" w:hAnsi="DeutscheBank"/>
          <w:sz w:val="20"/>
          <w:szCs w:val="20"/>
        </w:rPr>
        <w:t>I</w:t>
      </w:r>
      <w:r w:rsidRPr="0702B042">
        <w:rPr>
          <w:rFonts w:ascii="DeutscheBank" w:hAnsi="DeutscheBank"/>
          <w:sz w:val="20"/>
          <w:szCs w:val="20"/>
        </w:rPr>
        <w:t>n</w:t>
      </w:r>
      <w:r w:rsidRPr="00F626B8">
        <w:rPr>
          <w:rFonts w:ascii="DeutscheBank" w:hAnsi="DeutscheBank"/>
          <w:sz w:val="20"/>
          <w:szCs w:val="20"/>
        </w:rPr>
        <w:t xml:space="preserve"> der Region Asien-Pazifik </w:t>
      </w:r>
      <w:r w:rsidR="7739632B" w:rsidRPr="0702B042">
        <w:rPr>
          <w:rFonts w:ascii="DeutscheBank" w:hAnsi="DeutscheBank"/>
          <w:sz w:val="20"/>
          <w:szCs w:val="20"/>
        </w:rPr>
        <w:t xml:space="preserve">gilt es, </w:t>
      </w:r>
      <w:r w:rsidRPr="00F626B8">
        <w:rPr>
          <w:rFonts w:ascii="DeutscheBank" w:hAnsi="DeutscheBank"/>
          <w:sz w:val="20"/>
          <w:szCs w:val="20"/>
        </w:rPr>
        <w:t>das hohe Interesse potenziell neuer Investoren an Europa stärker in konkrete Investitionsentscheidungen zu überführen</w:t>
      </w:r>
      <w:r w:rsidR="0008751D" w:rsidRPr="00F626B8">
        <w:rPr>
          <w:rFonts w:ascii="DeutscheBank" w:hAnsi="DeutscheBank"/>
          <w:sz w:val="20"/>
          <w:szCs w:val="20"/>
        </w:rPr>
        <w:t>.</w:t>
      </w:r>
      <w:r w:rsidR="5DFD7364" w:rsidRPr="1DC6F10A">
        <w:rPr>
          <w:rFonts w:ascii="DeutscheBank" w:hAnsi="DeutscheBank"/>
          <w:sz w:val="20"/>
          <w:szCs w:val="20"/>
        </w:rPr>
        <w:t xml:space="preserve"> Grundsätzlich ergibt die Befragung, dass Unternehmen, die bereits in Europa aktiv sind, den Kontinent durchweg positiver bewerten.</w:t>
      </w:r>
    </w:p>
    <w:p w14:paraId="4D90EC33" w14:textId="77777777" w:rsidR="007B5C1E" w:rsidRDefault="007B5C1E" w:rsidP="001B7557">
      <w:pPr>
        <w:spacing w:after="160" w:line="240" w:lineRule="atLeast"/>
        <w:rPr>
          <w:rFonts w:ascii="DeutscheBank" w:hAnsi="DeutscheBank"/>
          <w:sz w:val="20"/>
          <w:szCs w:val="20"/>
        </w:rPr>
      </w:pPr>
    </w:p>
    <w:p w14:paraId="318145A0" w14:textId="33D078AC" w:rsidR="0008751D" w:rsidRPr="001B7557" w:rsidRDefault="00F626B8" w:rsidP="001B7557">
      <w:pPr>
        <w:spacing w:after="160" w:line="240" w:lineRule="atLeast"/>
      </w:pPr>
      <w:r w:rsidRPr="001B7557">
        <w:rPr>
          <w:rFonts w:asciiTheme="majorHAnsi" w:hAnsiTheme="majorHAnsi"/>
          <w:b/>
          <w:bCs/>
          <w:sz w:val="20"/>
          <w:szCs w:val="20"/>
        </w:rPr>
        <w:t>Abbildung</w:t>
      </w:r>
      <w:r w:rsidR="0008751D" w:rsidRPr="001B7557">
        <w:rPr>
          <w:rFonts w:asciiTheme="majorHAnsi" w:hAnsiTheme="majorHAnsi"/>
          <w:b/>
          <w:bCs/>
          <w:sz w:val="20"/>
          <w:szCs w:val="20"/>
        </w:rPr>
        <w:t xml:space="preserve"> 6: </w:t>
      </w:r>
      <w:r w:rsidR="00D5218A" w:rsidRPr="001B7557">
        <w:rPr>
          <w:rFonts w:asciiTheme="majorHAnsi" w:hAnsiTheme="majorHAnsi"/>
          <w:b/>
          <w:bCs/>
          <w:sz w:val="20"/>
          <w:szCs w:val="20"/>
        </w:rPr>
        <w:t>Anteil der Unternehmen mit bestehenden Investitionen in Europa nach Region</w:t>
      </w:r>
      <w:r w:rsidR="008650E8">
        <w:rPr>
          <w:rFonts w:asciiTheme="majorHAnsi" w:hAnsiTheme="majorHAnsi"/>
          <w:b/>
          <w:bCs/>
          <w:sz w:val="20"/>
          <w:szCs w:val="20"/>
        </w:rPr>
        <w:t xml:space="preserve">  </w:t>
      </w:r>
      <w:proofErr w:type="gramStart"/>
      <w:r w:rsidR="008650E8">
        <w:rPr>
          <w:rFonts w:asciiTheme="majorHAnsi" w:hAnsiTheme="majorHAnsi"/>
          <w:b/>
          <w:bCs/>
          <w:sz w:val="20"/>
          <w:szCs w:val="20"/>
        </w:rPr>
        <w:t xml:space="preserve">   </w:t>
      </w:r>
      <w:r w:rsidR="008D149E" w:rsidRPr="001B7557">
        <w:t>(</w:t>
      </w:r>
      <w:proofErr w:type="gramEnd"/>
      <w:r w:rsidR="008D149E" w:rsidRPr="001B7557">
        <w:t>a</w:t>
      </w:r>
      <w:r w:rsidR="0008751D" w:rsidRPr="001B7557">
        <w:t>ll</w:t>
      </w:r>
      <w:r w:rsidR="00D5218A" w:rsidRPr="001B7557">
        <w:t>e Befragten</w:t>
      </w:r>
      <w:r w:rsidR="008D149E" w:rsidRPr="001B7557">
        <w:t>)</w:t>
      </w:r>
    </w:p>
    <w:p w14:paraId="1F9B9A53" w14:textId="3B8810AC" w:rsidR="002F28CC" w:rsidRPr="002F28CC" w:rsidRDefault="002F28CC" w:rsidP="002F28CC">
      <w:pPr>
        <w:keepNext/>
        <w:spacing w:before="140" w:after="40"/>
        <w:jc w:val="center"/>
        <w:rPr>
          <w:rFonts w:ascii="DeutscheBank" w:hAnsi="DeutscheBank"/>
        </w:rPr>
      </w:pPr>
      <w:r w:rsidRPr="002F28CC">
        <w:rPr>
          <w:rFonts w:ascii="DeutscheBank" w:hAnsi="DeutscheBank"/>
          <w:noProof/>
        </w:rPr>
        <w:drawing>
          <wp:inline distT="0" distB="0" distL="0" distR="0" wp14:anchorId="48F5FA99" wp14:editId="130290B6">
            <wp:extent cx="4888625" cy="3126521"/>
            <wp:effectExtent l="0" t="0" r="7620" b="0"/>
            <wp:docPr id="697419382" name="Grafik 10" descr="Balkendiagramm zeigt prozentuale Werte für Gesamt, APAC, Naher Osten und Amerika. Gesamt liegt bei 67 %, APAC bei 55 %, Naher Osten bei 74 % und Amerika erreicht mit 82 % den höchsten Wert; Gesamtbalken dunkelblau, Regionenbalken bl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19382" name="Grafik 10" descr="Balkendiagramm zeigt prozentuale Werte für Gesamt, APAC, Naher Osten und Amerika. Gesamt liegt bei 67 %, APAC bei 55 %, Naher Osten bei 74 % und Amerika erreicht mit 82 % den höchsten Wert; Gesamtbalken dunkelblau, Regionenbalken blau."/>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1318" cy="3153826"/>
                    </a:xfrm>
                    <a:prstGeom prst="rect">
                      <a:avLst/>
                    </a:prstGeom>
                    <a:noFill/>
                    <a:ln>
                      <a:noFill/>
                    </a:ln>
                  </pic:spPr>
                </pic:pic>
              </a:graphicData>
            </a:graphic>
          </wp:inline>
        </w:drawing>
      </w:r>
    </w:p>
    <w:p w14:paraId="1CB3BFAC" w14:textId="35C759BB" w:rsidR="00D5218A" w:rsidRPr="00F85B14" w:rsidRDefault="00D5218A" w:rsidP="00D5218A">
      <w:pPr>
        <w:spacing w:after="180"/>
        <w:jc w:val="both"/>
        <w:rPr>
          <w:rFonts w:ascii="DeutscheBank" w:hAnsi="DeutscheBank"/>
          <w:lang w:val="en-US"/>
        </w:rPr>
      </w:pPr>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F85B14">
        <w:rPr>
          <w:rFonts w:ascii="DeutscheBank" w:hAnsi="DeutscheBank"/>
          <w:color w:val="000000" w:themeColor="text1"/>
          <w:sz w:val="16"/>
          <w:szCs w:val="16"/>
          <w:lang w:val="en-US"/>
        </w:rPr>
        <w:t>Basis</w:t>
      </w:r>
      <w:r w:rsidRPr="00F85B14">
        <w:rPr>
          <w:rFonts w:ascii="DeutscheBank" w:hAnsi="DeutscheBank"/>
          <w:b/>
          <w:bCs/>
          <w:color w:val="000000" w:themeColor="text1"/>
          <w:sz w:val="16"/>
          <w:szCs w:val="16"/>
          <w:lang w:val="en-US"/>
        </w:rPr>
        <w:t>:</w:t>
      </w:r>
      <w:r w:rsidRPr="00F85B14">
        <w:rPr>
          <w:rFonts w:ascii="DeutscheBank" w:hAnsi="DeutscheBank"/>
          <w:color w:val="000000" w:themeColor="text1"/>
          <w:sz w:val="16"/>
          <w:szCs w:val="16"/>
          <w:lang w:val="en-US"/>
        </w:rPr>
        <w:t xml:space="preserve"> n = 1,200 </w:t>
      </w:r>
    </w:p>
    <w:p w14:paraId="4FFB4D12" w14:textId="5B851A90" w:rsidR="0008751D" w:rsidRPr="001E5405" w:rsidRDefault="009C3BCA" w:rsidP="004F3339">
      <w:pPr>
        <w:spacing w:after="160" w:line="24" w:lineRule="auto"/>
        <w:rPr>
          <w:rFonts w:ascii="DeutscheBank" w:hAnsi="DeutscheBank"/>
          <w:lang w:val="en-GB"/>
        </w:rPr>
      </w:pPr>
      <w:r>
        <w:rPr>
          <w:rFonts w:ascii="DeutscheBank" w:hAnsi="DeutscheBank"/>
          <w:lang w:val="en-GB"/>
        </w:rPr>
        <w:br w:type="page"/>
      </w:r>
    </w:p>
    <w:p w14:paraId="5904C24E" w14:textId="34AF31D2" w:rsidR="0008751D" w:rsidRPr="000E3D12" w:rsidRDefault="0022477E" w:rsidP="2EAC6EF2">
      <w:pPr>
        <w:pStyle w:val="Heading2"/>
        <w:jc w:val="both"/>
        <w:rPr>
          <w:rFonts w:ascii="DeutscheBank" w:hAnsi="DeutscheBank"/>
          <w:color w:val="000000" w:themeColor="text1"/>
          <w:sz w:val="20"/>
          <w:szCs w:val="20"/>
        </w:rPr>
      </w:pPr>
      <w:r w:rsidRPr="000E3D12">
        <w:rPr>
          <w:rFonts w:ascii="DeutscheBank" w:hAnsi="DeutscheBank"/>
          <w:color w:val="000000" w:themeColor="text1"/>
          <w:sz w:val="20"/>
          <w:szCs w:val="20"/>
        </w:rPr>
        <w:lastRenderedPageBreak/>
        <w:t>Marktzugang wiegt stärker als lokale Produktion</w:t>
      </w:r>
    </w:p>
    <w:p w14:paraId="0A255096" w14:textId="7D1E42C1" w:rsidR="00046A99" w:rsidRPr="00046A99" w:rsidRDefault="00046A99" w:rsidP="00046A99">
      <w:pPr>
        <w:spacing w:after="150" w:line="288" w:lineRule="auto"/>
        <w:rPr>
          <w:rFonts w:ascii="DeutscheBank" w:hAnsi="DeutscheBank"/>
          <w:color w:val="000000" w:themeColor="text1"/>
          <w:sz w:val="20"/>
          <w:szCs w:val="20"/>
        </w:rPr>
      </w:pPr>
      <w:r w:rsidRPr="00046A99">
        <w:rPr>
          <w:rFonts w:ascii="DeutscheBank" w:hAnsi="DeutscheBank"/>
          <w:color w:val="000000" w:themeColor="text1"/>
          <w:sz w:val="20"/>
          <w:szCs w:val="20"/>
        </w:rPr>
        <w:t>Bislang erfolgt das Engagement in Europa überwiegend auf kommerzieller und weniger auf industrieller Ebene. Europa wird vor allem als Absatzmarkt genutzt: Rund 73 Prozent der bereits investierten Unternehmen verkaufen ihre Produkte oder Dienstleistungen in der Region, 59 Prozent verfügen über eigene Vertriebs- oder Distributionsteams vor Ort. Nur 19 Prozent produzieren in Europa. Das zeigt, dass tiefergehende und kapitalintensivere Investitionen bislang eher die Ausnahme sind.</w:t>
      </w:r>
    </w:p>
    <w:p w14:paraId="3D44E5F6" w14:textId="5500003A" w:rsidR="0008751D" w:rsidRDefault="73334A5A" w:rsidP="00046A99">
      <w:pPr>
        <w:spacing w:after="150" w:line="288" w:lineRule="auto"/>
        <w:rPr>
          <w:rFonts w:ascii="DeutscheBank" w:hAnsi="DeutscheBank"/>
          <w:color w:val="000000" w:themeColor="text1"/>
          <w:sz w:val="20"/>
          <w:szCs w:val="20"/>
        </w:rPr>
      </w:pPr>
      <w:r w:rsidRPr="6B417ECC">
        <w:rPr>
          <w:rFonts w:ascii="DeutscheBank" w:hAnsi="DeutscheBank"/>
          <w:color w:val="000000" w:themeColor="text1"/>
          <w:sz w:val="20"/>
          <w:szCs w:val="20"/>
        </w:rPr>
        <w:t>Dabei gibt es große Unterschiede zwischen den Regionen:</w:t>
      </w:r>
      <w:r w:rsidR="00046A99" w:rsidRPr="00046A99">
        <w:rPr>
          <w:rFonts w:ascii="DeutscheBank" w:hAnsi="DeutscheBank"/>
          <w:color w:val="000000" w:themeColor="text1"/>
          <w:sz w:val="20"/>
          <w:szCs w:val="20"/>
        </w:rPr>
        <w:t xml:space="preserve"> Unternehmen aus dem Nahen Osten sind überwiegend als Exporteure aktiv: 87 Prozent verkaufen in Europa, aber nur 3 Prozent produzieren vor Ort. Investoren aus Asien-Pazifik führen bei eigenen Vertriebs- und Distributionsstrukturen in Europa (78 Prozent), während Unternehmen aus Amerika am häufigsten vor Ort produzieren (28 Prozent). </w:t>
      </w:r>
    </w:p>
    <w:p w14:paraId="6B333678" w14:textId="77777777" w:rsidR="008650E8" w:rsidRDefault="008650E8" w:rsidP="001B7557">
      <w:pPr>
        <w:spacing w:after="150" w:line="240" w:lineRule="atLeast"/>
        <w:rPr>
          <w:rFonts w:ascii="DeutscheBank" w:hAnsi="DeutscheBank"/>
          <w:color w:val="000000" w:themeColor="text1"/>
          <w:sz w:val="20"/>
          <w:szCs w:val="20"/>
        </w:rPr>
      </w:pPr>
    </w:p>
    <w:p w14:paraId="138833E7" w14:textId="7415304B" w:rsidR="0008751D" w:rsidRPr="00696438" w:rsidRDefault="00046A99" w:rsidP="001B7557">
      <w:pPr>
        <w:spacing w:after="160" w:line="240" w:lineRule="atLeast"/>
        <w:rPr>
          <w:rFonts w:ascii="DeutscheBank" w:hAnsi="DeutscheBank"/>
          <w:szCs w:val="20"/>
        </w:rPr>
      </w:pPr>
      <w:r w:rsidRPr="001B7557">
        <w:rPr>
          <w:rFonts w:ascii="DeutscheBank" w:hAnsi="DeutscheBank"/>
          <w:b/>
          <w:sz w:val="20"/>
          <w:szCs w:val="20"/>
        </w:rPr>
        <w:t>Abbildung</w:t>
      </w:r>
      <w:r w:rsidR="0008751D" w:rsidRPr="001B7557">
        <w:rPr>
          <w:rFonts w:ascii="DeutscheBank" w:hAnsi="DeutscheBank"/>
          <w:b/>
          <w:sz w:val="20"/>
          <w:szCs w:val="20"/>
        </w:rPr>
        <w:t xml:space="preserve"> 7: </w:t>
      </w:r>
      <w:r w:rsidR="00640003" w:rsidRPr="001B7557">
        <w:rPr>
          <w:rFonts w:ascii="DeutscheBank" w:hAnsi="DeutscheBank"/>
          <w:b/>
          <w:sz w:val="20"/>
          <w:szCs w:val="20"/>
        </w:rPr>
        <w:t xml:space="preserve">Art der Investitionstätigkeit in Europa </w:t>
      </w:r>
      <w:r w:rsidR="00F84BA9">
        <w:tab/>
      </w:r>
      <w:r w:rsidR="00F84BA9">
        <w:tab/>
      </w:r>
      <w:r w:rsidR="00F84BA9">
        <w:tab/>
      </w:r>
      <w:r w:rsidR="00F84BA9">
        <w:tab/>
      </w:r>
      <w:r w:rsidR="00F84BA9">
        <w:rPr>
          <w:rFonts w:ascii="DeutscheBank" w:hAnsi="DeutscheBank"/>
          <w:b/>
          <w:sz w:val="20"/>
          <w:szCs w:val="20"/>
        </w:rPr>
        <w:t xml:space="preserve">    </w:t>
      </w:r>
      <w:r w:rsidR="00640003" w:rsidRPr="001B7557">
        <w:rPr>
          <w:rFonts w:asciiTheme="minorHAnsi" w:hAnsiTheme="minorHAnsi"/>
          <w:sz w:val="20"/>
          <w:szCs w:val="20"/>
        </w:rPr>
        <w:t xml:space="preserve">Mehrfachnennungen möglich </w:t>
      </w:r>
      <w:r w:rsidR="000C1A3E" w:rsidRPr="001B7557">
        <w:rPr>
          <w:rFonts w:asciiTheme="minorHAnsi" w:hAnsiTheme="minorHAnsi"/>
          <w:sz w:val="20"/>
          <w:szCs w:val="20"/>
        </w:rPr>
        <w:t>(</w:t>
      </w:r>
      <w:r w:rsidR="41F71EF0" w:rsidRPr="4B07A880">
        <w:rPr>
          <w:rFonts w:asciiTheme="minorHAnsi" w:hAnsiTheme="minorHAnsi"/>
          <w:sz w:val="20"/>
          <w:szCs w:val="20"/>
        </w:rPr>
        <w:t>bereits in Europa investiert</w:t>
      </w:r>
      <w:r w:rsidR="0008751D" w:rsidRPr="001B7557">
        <w:rPr>
          <w:rFonts w:asciiTheme="minorHAnsi" w:hAnsiTheme="minorHAnsi"/>
          <w:sz w:val="20"/>
          <w:szCs w:val="20"/>
        </w:rPr>
        <w:t>)</w:t>
      </w:r>
    </w:p>
    <w:p w14:paraId="541CF9F7" w14:textId="3360AA2F" w:rsidR="003300E9" w:rsidRDefault="00697375" w:rsidP="47942481">
      <w:pPr>
        <w:spacing w:after="180"/>
        <w:jc w:val="center"/>
        <w:rPr>
          <w:rFonts w:ascii="DeutscheBank" w:hAnsi="DeutscheBank"/>
          <w:b/>
          <w:bCs/>
          <w:color w:val="000000" w:themeColor="text1"/>
          <w:sz w:val="16"/>
          <w:szCs w:val="16"/>
          <w:lang w:val="en-GB"/>
        </w:rPr>
      </w:pPr>
      <w:r>
        <w:rPr>
          <w:noProof/>
        </w:rPr>
        <w:drawing>
          <wp:inline distT="0" distB="0" distL="0" distR="0" wp14:anchorId="77B13541" wp14:editId="4E00C6EB">
            <wp:extent cx="4663440" cy="2694638"/>
            <wp:effectExtent l="0" t="0" r="3810" b="0"/>
            <wp:docPr id="435943353" name="Grafik 12" descr="Balkendiagramm zeigt Verbreitung europäischer Geschäftsaktivitäten: Verkauf von Waren und/oder Dienstleistungen an Kunden in Europa erreicht 73 %, eigene Vertriebsteams in Europa 59 % und Produktion beziehungsweise Herstellung von Waren in Europa 1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43353" name="Grafik 12" descr="Balkendiagramm zeigt Verbreitung europäischer Geschäftsaktivitäten: Verkauf von Waren und/oder Dienstleistungen an Kunden in Europa erreicht 73 %, eigene Vertriebsteams in Europa 59 % und Produktion beziehungsweise Herstellung von Waren in Europa 19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79378" cy="2703847"/>
                    </a:xfrm>
                    <a:prstGeom prst="rect">
                      <a:avLst/>
                    </a:prstGeom>
                    <a:noFill/>
                    <a:ln>
                      <a:noFill/>
                    </a:ln>
                  </pic:spPr>
                </pic:pic>
              </a:graphicData>
            </a:graphic>
          </wp:inline>
        </w:drawing>
      </w:r>
    </w:p>
    <w:p w14:paraId="444186CF" w14:textId="170F9AF6" w:rsidR="000C1A3E" w:rsidRPr="003300E9" w:rsidRDefault="1AD0A482" w:rsidP="000C1A3E">
      <w:pPr>
        <w:spacing w:after="180"/>
        <w:jc w:val="both"/>
        <w:rPr>
          <w:rFonts w:ascii="DeutscheBank" w:hAnsi="DeutscheBank"/>
          <w:lang w:val="en-US"/>
        </w:rPr>
      </w:pPr>
      <w:r w:rsidRPr="6D6F5527">
        <w:rPr>
          <w:rFonts w:ascii="DeutscheBank" w:hAnsi="DeutscheBank"/>
          <w:b/>
          <w:bCs/>
          <w:color w:val="000000" w:themeColor="text1"/>
          <w:sz w:val="16"/>
          <w:szCs w:val="16"/>
          <w:lang w:val="en-GB"/>
        </w:rPr>
        <w:t xml:space="preserve">Quelle: </w:t>
      </w:r>
      <w:r w:rsidRPr="6D6F5527">
        <w:rPr>
          <w:rFonts w:ascii="DeutscheBank" w:hAnsi="DeutscheBank"/>
          <w:color w:val="000000" w:themeColor="text1"/>
          <w:sz w:val="16"/>
          <w:szCs w:val="16"/>
          <w:lang w:val="en-GB"/>
        </w:rPr>
        <w:t xml:space="preserve">Global Sentiment Survey on Europe 2026, B2B online Studie. </w:t>
      </w:r>
      <w:r w:rsidRPr="6D6F5527">
        <w:rPr>
          <w:rFonts w:ascii="DeutscheBank" w:hAnsi="DeutscheBank"/>
          <w:color w:val="000000" w:themeColor="text1"/>
          <w:sz w:val="16"/>
          <w:szCs w:val="16"/>
          <w:lang w:val="en-US"/>
        </w:rPr>
        <w:t>Basis</w:t>
      </w:r>
      <w:r w:rsidRPr="6D6F5527">
        <w:rPr>
          <w:rFonts w:ascii="DeutscheBank" w:hAnsi="DeutscheBank"/>
          <w:b/>
          <w:bCs/>
          <w:color w:val="000000" w:themeColor="text1"/>
          <w:sz w:val="16"/>
          <w:szCs w:val="16"/>
          <w:lang w:val="en-US"/>
        </w:rPr>
        <w:t>:</w:t>
      </w:r>
      <w:r w:rsidRPr="6D6F5527">
        <w:rPr>
          <w:rFonts w:ascii="DeutscheBank" w:hAnsi="DeutscheBank"/>
          <w:color w:val="000000" w:themeColor="text1"/>
          <w:sz w:val="16"/>
          <w:szCs w:val="16"/>
          <w:lang w:val="en-US"/>
        </w:rPr>
        <w:t xml:space="preserve"> n = </w:t>
      </w:r>
      <w:r w:rsidR="249B5C51" w:rsidRPr="6D6F5527">
        <w:rPr>
          <w:rFonts w:ascii="DeutscheBank" w:hAnsi="DeutscheBank"/>
          <w:color w:val="000000" w:themeColor="text1"/>
          <w:sz w:val="16"/>
          <w:szCs w:val="16"/>
          <w:lang w:val="en-US"/>
        </w:rPr>
        <w:t>807</w:t>
      </w:r>
      <w:r w:rsidR="3B595660" w:rsidRPr="6D6F5527">
        <w:rPr>
          <w:rFonts w:ascii="DeutscheBank" w:hAnsi="DeutscheBank"/>
          <w:color w:val="000000" w:themeColor="text1"/>
          <w:sz w:val="16"/>
          <w:szCs w:val="16"/>
          <w:lang w:val="en-US"/>
        </w:rPr>
        <w:t xml:space="preserve">, </w:t>
      </w:r>
      <w:proofErr w:type="spellStart"/>
      <w:r w:rsidR="3B595660" w:rsidRPr="6D6F5527">
        <w:rPr>
          <w:rFonts w:ascii="DeutscheBank" w:hAnsi="DeutscheBank"/>
          <w:color w:val="000000" w:themeColor="text1"/>
          <w:sz w:val="16"/>
          <w:szCs w:val="16"/>
          <w:lang w:val="en-US"/>
        </w:rPr>
        <w:t>bereits</w:t>
      </w:r>
      <w:proofErr w:type="spellEnd"/>
      <w:r w:rsidR="3B595660" w:rsidRPr="6D6F5527">
        <w:rPr>
          <w:rFonts w:ascii="DeutscheBank" w:hAnsi="DeutscheBank"/>
          <w:color w:val="000000" w:themeColor="text1"/>
          <w:sz w:val="16"/>
          <w:szCs w:val="16"/>
          <w:lang w:val="en-US"/>
        </w:rPr>
        <w:t xml:space="preserve"> </w:t>
      </w:r>
      <w:proofErr w:type="spellStart"/>
      <w:r w:rsidR="3B595660" w:rsidRPr="6D6F5527">
        <w:rPr>
          <w:rFonts w:ascii="DeutscheBank" w:hAnsi="DeutscheBank"/>
          <w:color w:val="000000" w:themeColor="text1"/>
          <w:sz w:val="16"/>
          <w:szCs w:val="16"/>
          <w:lang w:val="en-US"/>
        </w:rPr>
        <w:t>investiert</w:t>
      </w:r>
      <w:proofErr w:type="spellEnd"/>
    </w:p>
    <w:p w14:paraId="23D47F8B" w14:textId="77777777" w:rsidR="007A6C7F" w:rsidRPr="001E5405" w:rsidRDefault="007A6C7F" w:rsidP="0008751D">
      <w:pPr>
        <w:spacing w:after="180"/>
        <w:jc w:val="both"/>
        <w:rPr>
          <w:rFonts w:ascii="DeutscheBank" w:hAnsi="DeutscheBank"/>
          <w:lang w:val="en-GB"/>
        </w:rPr>
      </w:pPr>
    </w:p>
    <w:p w14:paraId="7CDA4666" w14:textId="407897E4" w:rsidR="0008751D" w:rsidRPr="00C10F24" w:rsidRDefault="00C10F24" w:rsidP="002E054C">
      <w:pPr>
        <w:pStyle w:val="Heading2"/>
        <w:ind w:left="432" w:hanging="432"/>
        <w:rPr>
          <w:rFonts w:ascii="DeutscheBank" w:hAnsi="DeutscheBank"/>
          <w:color w:val="000000" w:themeColor="text1"/>
          <w:sz w:val="20"/>
          <w:szCs w:val="20"/>
        </w:rPr>
      </w:pPr>
      <w:r w:rsidRPr="00C10F24">
        <w:rPr>
          <w:rFonts w:ascii="DeutscheBank" w:hAnsi="DeutscheBank"/>
          <w:color w:val="000000" w:themeColor="text1"/>
          <w:sz w:val="20"/>
          <w:szCs w:val="20"/>
        </w:rPr>
        <w:t xml:space="preserve">Eine mögliche Neuausrichtung globaler </w:t>
      </w:r>
      <w:r w:rsidR="196B700D" w:rsidRPr="7E94D558">
        <w:rPr>
          <w:rFonts w:ascii="DeutscheBank" w:hAnsi="DeutscheBank"/>
          <w:color w:val="000000" w:themeColor="text1"/>
          <w:sz w:val="20"/>
          <w:szCs w:val="20"/>
        </w:rPr>
        <w:t>Investitions-P</w:t>
      </w:r>
      <w:r w:rsidRPr="7E94D558">
        <w:rPr>
          <w:rFonts w:ascii="DeutscheBank" w:hAnsi="DeutscheBank"/>
          <w:color w:val="000000" w:themeColor="text1"/>
          <w:sz w:val="20"/>
          <w:szCs w:val="20"/>
        </w:rPr>
        <w:t>ortfolios</w:t>
      </w:r>
    </w:p>
    <w:p w14:paraId="39BFAFA8" w14:textId="077734F1" w:rsidR="00C96475" w:rsidRPr="00C96475" w:rsidRDefault="00C96475" w:rsidP="00C96475">
      <w:pPr>
        <w:spacing w:after="150" w:line="288" w:lineRule="auto"/>
        <w:rPr>
          <w:rFonts w:ascii="DeutscheBank" w:hAnsi="DeutscheBank"/>
          <w:sz w:val="20"/>
          <w:szCs w:val="20"/>
        </w:rPr>
      </w:pPr>
      <w:r w:rsidRPr="00C96475">
        <w:rPr>
          <w:rFonts w:ascii="DeutscheBank" w:hAnsi="DeutscheBank"/>
          <w:sz w:val="20"/>
          <w:szCs w:val="20"/>
        </w:rPr>
        <w:t xml:space="preserve">Ein Hinweis darauf, </w:t>
      </w:r>
      <w:r w:rsidR="2D64F77D" w:rsidRPr="7E94D558">
        <w:rPr>
          <w:rFonts w:ascii="DeutscheBank" w:hAnsi="DeutscheBank"/>
          <w:sz w:val="20"/>
          <w:szCs w:val="20"/>
        </w:rPr>
        <w:t>wie</w:t>
      </w:r>
      <w:r w:rsidRPr="00C96475">
        <w:rPr>
          <w:rFonts w:ascii="DeutscheBank" w:hAnsi="DeutscheBank"/>
          <w:sz w:val="20"/>
          <w:szCs w:val="20"/>
        </w:rPr>
        <w:t xml:space="preserve"> sich </w:t>
      </w:r>
      <w:r w:rsidR="13A74974" w:rsidRPr="7E94D558">
        <w:rPr>
          <w:rFonts w:ascii="DeutscheBank" w:hAnsi="DeutscheBank"/>
          <w:sz w:val="20"/>
          <w:szCs w:val="20"/>
        </w:rPr>
        <w:t xml:space="preserve">das in der Befragung offenbarte </w:t>
      </w:r>
      <w:r w:rsidRPr="00C96475">
        <w:rPr>
          <w:rFonts w:ascii="DeutscheBank" w:hAnsi="DeutscheBank"/>
          <w:sz w:val="20"/>
          <w:szCs w:val="20"/>
        </w:rPr>
        <w:t xml:space="preserve">Vertrauen in konkretes Handeln </w:t>
      </w:r>
      <w:r w:rsidRPr="7E94D558">
        <w:rPr>
          <w:rFonts w:ascii="DeutscheBank" w:hAnsi="DeutscheBank"/>
          <w:sz w:val="20"/>
          <w:szCs w:val="20"/>
        </w:rPr>
        <w:t>übersetz</w:t>
      </w:r>
      <w:r w:rsidR="482F9AD3" w:rsidRPr="7E94D558">
        <w:rPr>
          <w:rFonts w:ascii="DeutscheBank" w:hAnsi="DeutscheBank"/>
          <w:sz w:val="20"/>
          <w:szCs w:val="20"/>
        </w:rPr>
        <w:t>en könnte</w:t>
      </w:r>
      <w:r w:rsidRPr="00C96475">
        <w:rPr>
          <w:rFonts w:ascii="DeutscheBank" w:hAnsi="DeutscheBank"/>
          <w:sz w:val="20"/>
          <w:szCs w:val="20"/>
        </w:rPr>
        <w:t xml:space="preserve">, zeigt sich </w:t>
      </w:r>
      <w:r w:rsidR="64A5A103" w:rsidRPr="7E94D558">
        <w:rPr>
          <w:rFonts w:ascii="DeutscheBank" w:hAnsi="DeutscheBank"/>
          <w:sz w:val="20"/>
          <w:szCs w:val="20"/>
        </w:rPr>
        <w:t xml:space="preserve">bei </w:t>
      </w:r>
      <w:r w:rsidRPr="00C96475">
        <w:rPr>
          <w:rFonts w:ascii="DeutscheBank" w:hAnsi="DeutscheBank"/>
          <w:sz w:val="20"/>
          <w:szCs w:val="20"/>
        </w:rPr>
        <w:t xml:space="preserve">der Frage, woher die zusätzlichen Investitionen </w:t>
      </w:r>
      <w:r w:rsidR="609CB82C" w:rsidRPr="7E94D558">
        <w:rPr>
          <w:rFonts w:ascii="DeutscheBank" w:hAnsi="DeutscheBank"/>
          <w:sz w:val="20"/>
          <w:szCs w:val="20"/>
        </w:rPr>
        <w:t xml:space="preserve">nach Europa </w:t>
      </w:r>
      <w:r w:rsidRPr="00C96475">
        <w:rPr>
          <w:rFonts w:ascii="DeutscheBank" w:hAnsi="DeutscheBank"/>
          <w:sz w:val="20"/>
          <w:szCs w:val="20"/>
        </w:rPr>
        <w:t xml:space="preserve">stammen sollen. </w:t>
      </w:r>
      <w:r w:rsidR="462F02EA" w:rsidRPr="7E94D558">
        <w:rPr>
          <w:rFonts w:ascii="DeutscheBank" w:hAnsi="DeutscheBank"/>
          <w:sz w:val="20"/>
          <w:szCs w:val="20"/>
        </w:rPr>
        <w:t>V</w:t>
      </w:r>
      <w:r w:rsidRPr="7E94D558">
        <w:rPr>
          <w:rFonts w:ascii="DeutscheBank" w:hAnsi="DeutscheBank"/>
          <w:sz w:val="20"/>
          <w:szCs w:val="20"/>
        </w:rPr>
        <w:t>iele</w:t>
      </w:r>
      <w:r w:rsidRPr="00C96475">
        <w:rPr>
          <w:rFonts w:ascii="DeutscheBank" w:hAnsi="DeutscheBank"/>
          <w:sz w:val="20"/>
          <w:szCs w:val="20"/>
        </w:rPr>
        <w:t xml:space="preserve"> </w:t>
      </w:r>
      <w:r w:rsidR="157614EB" w:rsidRPr="7E94D558">
        <w:rPr>
          <w:rFonts w:ascii="DeutscheBank" w:hAnsi="DeutscheBank"/>
          <w:sz w:val="20"/>
          <w:szCs w:val="20"/>
        </w:rPr>
        <w:t xml:space="preserve">möchten für ein </w:t>
      </w:r>
      <w:r w:rsidRPr="00C96475">
        <w:rPr>
          <w:rFonts w:ascii="DeutscheBank" w:hAnsi="DeutscheBank"/>
          <w:sz w:val="20"/>
          <w:szCs w:val="20"/>
        </w:rPr>
        <w:t xml:space="preserve">stärkeres Engagement in Europa keine zusätzlichen Investitionen </w:t>
      </w:r>
      <w:r w:rsidR="039221AC" w:rsidRPr="7E94D558">
        <w:rPr>
          <w:rFonts w:ascii="DeutscheBank" w:hAnsi="DeutscheBank"/>
          <w:sz w:val="20"/>
          <w:szCs w:val="20"/>
        </w:rPr>
        <w:t>tätigen</w:t>
      </w:r>
      <w:r w:rsidRPr="00C96475">
        <w:rPr>
          <w:rFonts w:ascii="DeutscheBank" w:hAnsi="DeutscheBank"/>
          <w:sz w:val="20"/>
          <w:szCs w:val="20"/>
        </w:rPr>
        <w:t>, sondern ihr globale</w:t>
      </w:r>
      <w:r w:rsidR="0FB021F0" w:rsidRPr="7E94D558">
        <w:rPr>
          <w:rFonts w:ascii="DeutscheBank" w:hAnsi="DeutscheBank"/>
          <w:sz w:val="20"/>
          <w:szCs w:val="20"/>
        </w:rPr>
        <w:t xml:space="preserve">s </w:t>
      </w:r>
      <w:r w:rsidRPr="7E94D558">
        <w:rPr>
          <w:rFonts w:ascii="DeutscheBank" w:hAnsi="DeutscheBank"/>
          <w:sz w:val="20"/>
          <w:szCs w:val="20"/>
        </w:rPr>
        <w:t>Investitionsportfolio</w:t>
      </w:r>
      <w:r w:rsidR="387D8EA6" w:rsidRPr="7E94D558">
        <w:rPr>
          <w:rFonts w:ascii="DeutscheBank" w:hAnsi="DeutscheBank"/>
          <w:sz w:val="20"/>
          <w:szCs w:val="20"/>
        </w:rPr>
        <w:t xml:space="preserve"> umschichten</w:t>
      </w:r>
      <w:r w:rsidRPr="7E94D558">
        <w:rPr>
          <w:rFonts w:ascii="DeutscheBank" w:hAnsi="DeutscheBank"/>
          <w:sz w:val="20"/>
          <w:szCs w:val="20"/>
        </w:rPr>
        <w:t>.</w:t>
      </w:r>
      <w:r w:rsidRPr="00C96475">
        <w:rPr>
          <w:rFonts w:ascii="DeutscheBank" w:hAnsi="DeutscheBank"/>
          <w:sz w:val="20"/>
          <w:szCs w:val="20"/>
        </w:rPr>
        <w:t xml:space="preserve"> Nordamerika wird dabei am häufigsten </w:t>
      </w:r>
      <w:r w:rsidR="4913F8A1" w:rsidRPr="7E94D558">
        <w:rPr>
          <w:rFonts w:ascii="DeutscheBank" w:hAnsi="DeutscheBank"/>
          <w:sz w:val="20"/>
          <w:szCs w:val="20"/>
        </w:rPr>
        <w:t xml:space="preserve">genannt: 41 Prozent würden Kapital aus Nordamerika </w:t>
      </w:r>
      <w:r w:rsidR="690F9451" w:rsidRPr="7E94D558">
        <w:rPr>
          <w:rFonts w:ascii="DeutscheBank" w:hAnsi="DeutscheBank"/>
          <w:sz w:val="20"/>
          <w:szCs w:val="20"/>
        </w:rPr>
        <w:t xml:space="preserve">nach Europa </w:t>
      </w:r>
      <w:r w:rsidR="4913F8A1" w:rsidRPr="7E94D558">
        <w:rPr>
          <w:rFonts w:ascii="DeutscheBank" w:hAnsi="DeutscheBank"/>
          <w:sz w:val="20"/>
          <w:szCs w:val="20"/>
        </w:rPr>
        <w:t>umschichten</w:t>
      </w:r>
      <w:r w:rsidRPr="00C96475">
        <w:rPr>
          <w:rFonts w:ascii="DeutscheBank" w:hAnsi="DeutscheBank"/>
          <w:sz w:val="20"/>
          <w:szCs w:val="20"/>
        </w:rPr>
        <w:t>, gefolgt vom asiatisch-pazifischen Raum ohne China (36 Prozent) und dem Nahen Osten (28 Prozent). Nur 20 Prozent der Befragten geben an, für Investitionen in Europa keine Investitionen aus anderen Regionen abzuziehen.</w:t>
      </w:r>
    </w:p>
    <w:p w14:paraId="0B9BCF3F" w14:textId="729B8937" w:rsidR="0008751D" w:rsidRDefault="4577FE36" w:rsidP="00C96475">
      <w:pPr>
        <w:spacing w:after="150" w:line="288" w:lineRule="auto"/>
        <w:rPr>
          <w:rFonts w:ascii="DeutscheBank" w:hAnsi="DeutscheBank"/>
          <w:sz w:val="20"/>
          <w:szCs w:val="20"/>
        </w:rPr>
      </w:pPr>
      <w:r w:rsidRPr="7E94D558">
        <w:rPr>
          <w:rFonts w:ascii="DeutscheBank" w:hAnsi="DeutscheBank"/>
          <w:sz w:val="20"/>
          <w:szCs w:val="20"/>
        </w:rPr>
        <w:t xml:space="preserve">Dies ist </w:t>
      </w:r>
      <w:r w:rsidR="6CCD1AFC" w:rsidRPr="7E94D558">
        <w:rPr>
          <w:rFonts w:ascii="DeutscheBank" w:hAnsi="DeutscheBank"/>
          <w:sz w:val="20"/>
          <w:szCs w:val="20"/>
        </w:rPr>
        <w:t xml:space="preserve">ein deutliches Zeichen dafür, dass </w:t>
      </w:r>
      <w:r w:rsidR="31AAB584" w:rsidRPr="7E94D558">
        <w:rPr>
          <w:rFonts w:ascii="DeutscheBank" w:hAnsi="DeutscheBank"/>
          <w:sz w:val="20"/>
          <w:szCs w:val="20"/>
        </w:rPr>
        <w:t>Europa</w:t>
      </w:r>
      <w:r w:rsidR="6CCD1AFC" w:rsidRPr="7E94D558">
        <w:rPr>
          <w:rFonts w:ascii="DeutscheBank" w:hAnsi="DeutscheBank"/>
          <w:sz w:val="20"/>
          <w:szCs w:val="20"/>
        </w:rPr>
        <w:t xml:space="preserve"> </w:t>
      </w:r>
      <w:r w:rsidR="09C16E09" w:rsidRPr="7E94D558">
        <w:rPr>
          <w:rFonts w:ascii="DeutscheBank" w:hAnsi="DeutscheBank"/>
          <w:sz w:val="20"/>
          <w:szCs w:val="20"/>
        </w:rPr>
        <w:t>im</w:t>
      </w:r>
      <w:r w:rsidR="0C735EBE" w:rsidRPr="7E94D558">
        <w:rPr>
          <w:rFonts w:ascii="DeutscheBank" w:hAnsi="DeutscheBank"/>
          <w:sz w:val="20"/>
          <w:szCs w:val="20"/>
        </w:rPr>
        <w:t xml:space="preserve"> internationalen</w:t>
      </w:r>
      <w:r w:rsidR="09C16E09" w:rsidRPr="7E94D558">
        <w:rPr>
          <w:rFonts w:ascii="DeutscheBank" w:hAnsi="DeutscheBank"/>
          <w:sz w:val="20"/>
          <w:szCs w:val="20"/>
        </w:rPr>
        <w:t xml:space="preserve"> Vergleich </w:t>
      </w:r>
      <w:r w:rsidR="6CCD1AFC" w:rsidRPr="7E94D558">
        <w:rPr>
          <w:rFonts w:ascii="DeutscheBank" w:hAnsi="DeutscheBank"/>
          <w:sz w:val="20"/>
          <w:szCs w:val="20"/>
        </w:rPr>
        <w:t>an Attraktivität gewinnt</w:t>
      </w:r>
      <w:r w:rsidR="7EAFEE9D" w:rsidRPr="7E94D558">
        <w:rPr>
          <w:rFonts w:ascii="DeutscheBank" w:hAnsi="DeutscheBank"/>
          <w:sz w:val="20"/>
          <w:szCs w:val="20"/>
        </w:rPr>
        <w:t>.</w:t>
      </w:r>
    </w:p>
    <w:p w14:paraId="4C7FABF9" w14:textId="66CC0A84" w:rsidR="007E01DE" w:rsidRDefault="007E01DE">
      <w:pPr>
        <w:spacing w:after="160" w:line="24" w:lineRule="auto"/>
        <w:rPr>
          <w:rFonts w:ascii="DeutscheBank" w:hAnsi="DeutscheBank"/>
          <w:sz w:val="20"/>
          <w:szCs w:val="20"/>
        </w:rPr>
      </w:pPr>
      <w:r>
        <w:rPr>
          <w:rFonts w:ascii="DeutscheBank" w:hAnsi="DeutscheBank"/>
          <w:sz w:val="20"/>
          <w:szCs w:val="20"/>
        </w:rPr>
        <w:br w:type="page"/>
      </w:r>
    </w:p>
    <w:p w14:paraId="736A6B5E" w14:textId="0B5123DE" w:rsidR="0008751D" w:rsidRPr="000C1A3E" w:rsidRDefault="009C3BCA" w:rsidP="0008751D">
      <w:pPr>
        <w:pStyle w:val="Caption"/>
        <w:rPr>
          <w:rFonts w:ascii="DeutscheBank" w:eastAsia="Arial" w:hAnsi="DeutscheBank" w:cs="Arial"/>
          <w:bCs/>
          <w:iCs w:val="0"/>
          <w:szCs w:val="20"/>
          <w:lang w:val="de-DE" w:eastAsia="de-DE"/>
          <w14:ligatures w14:val="none"/>
        </w:rPr>
      </w:pPr>
      <w:proofErr w:type="gramStart"/>
      <w:r>
        <w:rPr>
          <w:rFonts w:ascii="DeutscheBank" w:eastAsia="Arial" w:hAnsi="DeutscheBank" w:cs="Arial"/>
          <w:bCs/>
          <w:iCs w:val="0"/>
          <w:szCs w:val="20"/>
          <w:lang w:val="de-DE" w:eastAsia="de-DE"/>
          <w14:ligatures w14:val="none"/>
        </w:rPr>
        <w:lastRenderedPageBreak/>
        <w:t xml:space="preserve">Abbildung </w:t>
      </w:r>
      <w:r w:rsidR="0008751D" w:rsidRPr="000C1A3E">
        <w:rPr>
          <w:rFonts w:ascii="DeutscheBank" w:eastAsia="Arial" w:hAnsi="DeutscheBank" w:cs="Arial"/>
          <w:bCs/>
          <w:iCs w:val="0"/>
          <w:szCs w:val="20"/>
          <w:lang w:val="de-DE" w:eastAsia="de-DE"/>
          <w14:ligatures w14:val="none"/>
        </w:rPr>
        <w:t xml:space="preserve"> 8</w:t>
      </w:r>
      <w:proofErr w:type="gramEnd"/>
      <w:r w:rsidR="0008751D" w:rsidRPr="000C1A3E">
        <w:rPr>
          <w:rFonts w:ascii="DeutscheBank" w:eastAsia="Arial" w:hAnsi="DeutscheBank" w:cs="Arial"/>
          <w:bCs/>
          <w:iCs w:val="0"/>
          <w:szCs w:val="20"/>
          <w:lang w:val="de-DE" w:eastAsia="de-DE"/>
          <w14:ligatures w14:val="none"/>
        </w:rPr>
        <w:t xml:space="preserve">: </w:t>
      </w:r>
      <w:r w:rsidR="000C1A3E" w:rsidRPr="000C1A3E">
        <w:rPr>
          <w:rFonts w:ascii="DeutscheBank" w:eastAsia="Arial" w:hAnsi="DeutscheBank" w:cs="Arial"/>
          <w:bCs/>
          <w:iCs w:val="0"/>
          <w:szCs w:val="20"/>
          <w:lang w:val="de-DE" w:eastAsia="de-DE"/>
          <w14:ligatures w14:val="none"/>
        </w:rPr>
        <w:t xml:space="preserve">Regionen, aus denen Investoren Kapital nach Europa umschichten würden </w:t>
      </w:r>
    </w:p>
    <w:p w14:paraId="54A5D9ED" w14:textId="726BB7D0" w:rsidR="0008751D" w:rsidRPr="000B0F05" w:rsidRDefault="000C1A3E" w:rsidP="0008751D">
      <w:pPr>
        <w:pStyle w:val="Copy"/>
        <w:rPr>
          <w:rFonts w:ascii="DeutscheBank" w:eastAsia="Arial" w:hAnsi="DeutscheBank" w:cs="Arial"/>
          <w:color w:val="222222"/>
          <w:szCs w:val="20"/>
          <w:lang w:val="en-GB" w:eastAsia="de-DE"/>
          <w14:ligatures w14:val="none"/>
        </w:rPr>
      </w:pPr>
      <w:proofErr w:type="spellStart"/>
      <w:r w:rsidRPr="000C1A3E">
        <w:rPr>
          <w:rFonts w:ascii="DeutscheBank" w:eastAsia="Arial" w:hAnsi="DeutscheBank" w:cs="Arial"/>
          <w:color w:val="222222"/>
          <w:szCs w:val="20"/>
          <w:lang w:val="en-GB" w:eastAsia="de-DE"/>
          <w14:ligatures w14:val="none"/>
        </w:rPr>
        <w:t>Mehrfachnennungen</w:t>
      </w:r>
      <w:proofErr w:type="spellEnd"/>
      <w:r w:rsidRPr="000C1A3E">
        <w:rPr>
          <w:rFonts w:ascii="DeutscheBank" w:eastAsia="Arial" w:hAnsi="DeutscheBank" w:cs="Arial"/>
          <w:color w:val="222222"/>
          <w:szCs w:val="20"/>
          <w:lang w:val="en-GB" w:eastAsia="de-DE"/>
          <w14:ligatures w14:val="none"/>
        </w:rPr>
        <w:t xml:space="preserve"> </w:t>
      </w:r>
      <w:proofErr w:type="spellStart"/>
      <w:r w:rsidRPr="000C1A3E">
        <w:rPr>
          <w:rFonts w:ascii="DeutscheBank" w:eastAsia="Arial" w:hAnsi="DeutscheBank" w:cs="Arial"/>
          <w:color w:val="222222"/>
          <w:szCs w:val="20"/>
          <w:lang w:val="en-GB" w:eastAsia="de-DE"/>
          <w14:ligatures w14:val="none"/>
        </w:rPr>
        <w:t>möglich</w:t>
      </w:r>
      <w:proofErr w:type="spellEnd"/>
      <w:r>
        <w:rPr>
          <w:rFonts w:ascii="DeutscheBank" w:eastAsia="Arial" w:hAnsi="DeutscheBank" w:cs="Arial"/>
          <w:color w:val="222222"/>
          <w:szCs w:val="20"/>
          <w:lang w:val="en-GB" w:eastAsia="de-DE"/>
          <w14:ligatures w14:val="none"/>
        </w:rPr>
        <w:t xml:space="preserve"> </w:t>
      </w:r>
      <w:r w:rsidR="0008751D">
        <w:rPr>
          <w:rFonts w:ascii="DeutscheBank" w:eastAsia="Arial" w:hAnsi="DeutscheBank" w:cs="Arial"/>
          <w:color w:val="222222"/>
          <w:szCs w:val="20"/>
          <w:lang w:val="en-GB" w:eastAsia="de-DE"/>
          <w14:ligatures w14:val="none"/>
        </w:rPr>
        <w:t>(</w:t>
      </w:r>
      <w:r>
        <w:rPr>
          <w:rFonts w:ascii="DeutscheBank" w:eastAsia="Arial" w:hAnsi="DeutscheBank" w:cs="Arial"/>
          <w:color w:val="222222"/>
          <w:szCs w:val="20"/>
          <w:lang w:val="en-GB" w:eastAsia="de-DE"/>
          <w14:ligatures w14:val="none"/>
        </w:rPr>
        <w:t xml:space="preserve">alle </w:t>
      </w:r>
      <w:proofErr w:type="spellStart"/>
      <w:r>
        <w:rPr>
          <w:rFonts w:ascii="DeutscheBank" w:eastAsia="Arial" w:hAnsi="DeutscheBank" w:cs="Arial"/>
          <w:color w:val="222222"/>
          <w:szCs w:val="20"/>
          <w:lang w:val="en-GB" w:eastAsia="de-DE"/>
          <w14:ligatures w14:val="none"/>
        </w:rPr>
        <w:t>Befragten</w:t>
      </w:r>
      <w:proofErr w:type="spellEnd"/>
      <w:r w:rsidR="0008751D">
        <w:rPr>
          <w:rFonts w:ascii="DeutscheBank" w:eastAsia="Arial" w:hAnsi="DeutscheBank" w:cs="Arial"/>
          <w:color w:val="222222"/>
          <w:szCs w:val="20"/>
          <w:lang w:val="en-GB" w:eastAsia="de-DE"/>
          <w14:ligatures w14:val="none"/>
        </w:rPr>
        <w:t>)</w:t>
      </w:r>
    </w:p>
    <w:p w14:paraId="0EEFFE78" w14:textId="4975DB36" w:rsidR="00EB29DE" w:rsidRPr="00EB29DE" w:rsidRDefault="00143989" w:rsidP="00143989">
      <w:pPr>
        <w:keepNext/>
        <w:spacing w:before="140" w:after="40"/>
        <w:jc w:val="center"/>
        <w:rPr>
          <w:rFonts w:ascii="DeutscheBank" w:hAnsi="DeutscheBank"/>
        </w:rPr>
      </w:pPr>
      <w:r>
        <w:rPr>
          <w:noProof/>
        </w:rPr>
        <w:drawing>
          <wp:inline distT="0" distB="0" distL="0" distR="0" wp14:anchorId="49525576" wp14:editId="19472D89">
            <wp:extent cx="4677507" cy="2338754"/>
            <wp:effectExtent l="0" t="0" r="8890" b="4445"/>
            <wp:docPr id="2049023618" name="Grafik 8" descr="Balkendiagramm zeigt prozentuale Anteile nach Regionen: Nordamerika 41 %, APAC 36 %, Naher Osten 28 %, China 21 % und LATAM 15 %. Grauer Balken „Aus keiner Region“ markiert 20 %; Werte sind absteigend angeordnet, Nordamerika erreicht höchsten Ant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23618" name="Grafik 8" descr="Balkendiagramm zeigt prozentuale Anteile nach Regionen: Nordamerika 41 %, APAC 36 %, Naher Osten 28 %, China 21 % und LATAM 15 %. Grauer Balken „Aus keiner Region“ markiert 20 %; Werte sind absteigend angeordnet, Nordamerika erreicht höchsten Antei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9291" cy="2349646"/>
                    </a:xfrm>
                    <a:prstGeom prst="rect">
                      <a:avLst/>
                    </a:prstGeom>
                    <a:noFill/>
                    <a:ln>
                      <a:noFill/>
                    </a:ln>
                  </pic:spPr>
                </pic:pic>
              </a:graphicData>
            </a:graphic>
          </wp:inline>
        </w:drawing>
      </w:r>
    </w:p>
    <w:p w14:paraId="79A63EC6" w14:textId="6E4C6A24" w:rsidR="0008751D" w:rsidRPr="001E5405" w:rsidRDefault="0008751D" w:rsidP="0008751D">
      <w:pPr>
        <w:keepNext/>
        <w:spacing w:before="140" w:after="40"/>
        <w:jc w:val="center"/>
        <w:rPr>
          <w:rFonts w:ascii="DeutscheBank" w:hAnsi="DeutscheBank"/>
        </w:rPr>
      </w:pPr>
    </w:p>
    <w:p w14:paraId="1E4F2A21" w14:textId="77777777" w:rsidR="000C1A3E" w:rsidRPr="00EB29DE" w:rsidRDefault="000C1A3E" w:rsidP="000C1A3E">
      <w:pPr>
        <w:spacing w:after="180"/>
        <w:jc w:val="both"/>
        <w:rPr>
          <w:rFonts w:ascii="DeutscheBank" w:hAnsi="DeutscheBank"/>
          <w:lang w:val="en-US"/>
        </w:rPr>
      </w:pPr>
      <w:bookmarkStart w:id="10" w:name="_Toc239930532"/>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EB29DE">
        <w:rPr>
          <w:rFonts w:ascii="DeutscheBank" w:hAnsi="DeutscheBank"/>
          <w:color w:val="000000" w:themeColor="text1"/>
          <w:sz w:val="16"/>
          <w:szCs w:val="16"/>
          <w:lang w:val="en-US"/>
        </w:rPr>
        <w:t>Basis</w:t>
      </w:r>
      <w:r w:rsidRPr="00EB29DE">
        <w:rPr>
          <w:rFonts w:ascii="DeutscheBank" w:hAnsi="DeutscheBank"/>
          <w:b/>
          <w:bCs/>
          <w:color w:val="000000" w:themeColor="text1"/>
          <w:sz w:val="16"/>
          <w:szCs w:val="16"/>
          <w:lang w:val="en-US"/>
        </w:rPr>
        <w:t>:</w:t>
      </w:r>
      <w:r w:rsidRPr="00EB29DE">
        <w:rPr>
          <w:rFonts w:ascii="DeutscheBank" w:hAnsi="DeutscheBank"/>
          <w:color w:val="000000" w:themeColor="text1"/>
          <w:sz w:val="16"/>
          <w:szCs w:val="16"/>
          <w:lang w:val="en-US"/>
        </w:rPr>
        <w:t xml:space="preserve"> n = 1,200 </w:t>
      </w:r>
    </w:p>
    <w:p w14:paraId="594CC545" w14:textId="054D8667" w:rsidR="00812EF4" w:rsidRDefault="00812EF4" w:rsidP="001951E8">
      <w:pPr>
        <w:pStyle w:val="Heading1"/>
        <w:pageBreakBefore/>
        <w:ind w:left="432"/>
        <w:rPr>
          <w:rFonts w:ascii="DeutscheBank" w:hAnsi="DeutscheBank"/>
          <w:sz w:val="28"/>
          <w:szCs w:val="28"/>
        </w:rPr>
      </w:pPr>
      <w:bookmarkStart w:id="11" w:name="_Toc240632248"/>
      <w:r>
        <w:rPr>
          <w:rFonts w:ascii="DeutscheBank" w:hAnsi="DeutscheBank"/>
          <w:sz w:val="28"/>
          <w:szCs w:val="28"/>
        </w:rPr>
        <w:lastRenderedPageBreak/>
        <w:t>Europas Stärken</w:t>
      </w:r>
      <w:r w:rsidR="006338F4">
        <w:rPr>
          <w:rFonts w:ascii="DeutscheBank" w:hAnsi="DeutscheBank"/>
          <w:sz w:val="28"/>
          <w:szCs w:val="28"/>
        </w:rPr>
        <w:t xml:space="preserve"> nutzen und gezielt handeln</w:t>
      </w:r>
      <w:bookmarkEnd w:id="11"/>
    </w:p>
    <w:bookmarkEnd w:id="10"/>
    <w:p w14:paraId="67C1F18B" w14:textId="1A28CD39" w:rsidR="00C35C72" w:rsidRPr="000E3D12" w:rsidRDefault="00145B7A" w:rsidP="00C35C72">
      <w:pPr>
        <w:spacing w:after="150" w:line="288" w:lineRule="auto"/>
        <w:rPr>
          <w:rFonts w:ascii="DeutscheBank" w:hAnsi="DeutscheBank"/>
          <w:sz w:val="20"/>
          <w:szCs w:val="20"/>
        </w:rPr>
      </w:pPr>
      <w:r w:rsidRPr="00145B7A">
        <w:rPr>
          <w:rFonts w:ascii="DeutscheBank" w:hAnsi="DeutscheBank"/>
          <w:sz w:val="20"/>
          <w:szCs w:val="20"/>
        </w:rPr>
        <w:t xml:space="preserve">Europas Widerstandsfähigkeit ist ein wichtiger Teil seiner Attraktivität. Investoren sehen die Region jedoch nicht nur als sicheren Hafen. Die Ergebnisse zeigen, dass Europa ebenso geschätzt wird für sein Wachstumspotenzial, seine Innovationskraft, seine industrielle Stärke und die Möglichkeiten, dort </w:t>
      </w:r>
      <w:r w:rsidR="7CB1F2C7" w:rsidRPr="7E94D558">
        <w:rPr>
          <w:rFonts w:ascii="DeutscheBank" w:hAnsi="DeutscheBank"/>
          <w:sz w:val="20"/>
          <w:szCs w:val="20"/>
        </w:rPr>
        <w:t xml:space="preserve">das </w:t>
      </w:r>
      <w:r w:rsidRPr="00145B7A">
        <w:rPr>
          <w:rFonts w:ascii="DeutscheBank" w:hAnsi="DeutscheBank"/>
          <w:sz w:val="20"/>
          <w:szCs w:val="20"/>
        </w:rPr>
        <w:t>Geschäft auszubauen.</w:t>
      </w:r>
      <w:r w:rsidR="00943E5A">
        <w:rPr>
          <w:rFonts w:ascii="DeutscheBank" w:hAnsi="DeutscheBank"/>
          <w:sz w:val="20"/>
          <w:szCs w:val="20"/>
        </w:rPr>
        <w:t xml:space="preserve"> </w:t>
      </w:r>
      <w:r w:rsidR="00C9266B">
        <w:rPr>
          <w:rFonts w:ascii="DeutscheBank" w:hAnsi="DeutscheBank"/>
          <w:sz w:val="20"/>
          <w:szCs w:val="20"/>
        </w:rPr>
        <w:t>Nun stellt</w:t>
      </w:r>
      <w:r w:rsidR="00C35C72" w:rsidRPr="000E3D12">
        <w:rPr>
          <w:rFonts w:ascii="DeutscheBank" w:hAnsi="DeutscheBank"/>
          <w:sz w:val="20"/>
          <w:szCs w:val="20"/>
        </w:rPr>
        <w:t xml:space="preserve"> sich </w:t>
      </w:r>
      <w:r w:rsidR="00C9266B">
        <w:rPr>
          <w:rFonts w:ascii="DeutscheBank" w:hAnsi="DeutscheBank"/>
          <w:sz w:val="20"/>
          <w:szCs w:val="20"/>
        </w:rPr>
        <w:t>die Frage</w:t>
      </w:r>
      <w:r w:rsidR="00C35C72" w:rsidRPr="000E3D12">
        <w:rPr>
          <w:rFonts w:ascii="DeutscheBank" w:hAnsi="DeutscheBank"/>
          <w:sz w:val="20"/>
          <w:szCs w:val="20"/>
        </w:rPr>
        <w:t xml:space="preserve">, wie </w:t>
      </w:r>
      <w:r w:rsidR="00C9266B">
        <w:rPr>
          <w:rFonts w:ascii="DeutscheBank" w:hAnsi="DeutscheBank"/>
          <w:sz w:val="20"/>
          <w:szCs w:val="20"/>
        </w:rPr>
        <w:t>Europa</w:t>
      </w:r>
      <w:r w:rsidR="00C35C72" w:rsidRPr="000E3D12">
        <w:rPr>
          <w:rFonts w:ascii="DeutscheBank" w:hAnsi="DeutscheBank"/>
          <w:sz w:val="20"/>
          <w:szCs w:val="20"/>
        </w:rPr>
        <w:t xml:space="preserve"> seine bestehenden </w:t>
      </w:r>
      <w:r w:rsidR="6B9FD631" w:rsidRPr="070A5C0E">
        <w:rPr>
          <w:rFonts w:ascii="DeutscheBank" w:hAnsi="DeutscheBank"/>
          <w:sz w:val="20"/>
          <w:szCs w:val="20"/>
        </w:rPr>
        <w:t xml:space="preserve">Vorzüge </w:t>
      </w:r>
      <w:r w:rsidR="00C35C72" w:rsidRPr="000E3D12">
        <w:rPr>
          <w:rFonts w:ascii="DeutscheBank" w:hAnsi="DeutscheBank"/>
          <w:sz w:val="20"/>
          <w:szCs w:val="20"/>
        </w:rPr>
        <w:t xml:space="preserve">noch besser nutzen kann. </w:t>
      </w:r>
    </w:p>
    <w:p w14:paraId="6F31EBD5" w14:textId="77777777" w:rsidR="00C35C72" w:rsidRDefault="00C35C72" w:rsidP="003E06D2">
      <w:pPr>
        <w:spacing w:after="150" w:line="288" w:lineRule="auto"/>
        <w:rPr>
          <w:rFonts w:ascii="DeutscheBank" w:hAnsi="DeutscheBank"/>
          <w:sz w:val="20"/>
          <w:szCs w:val="20"/>
        </w:rPr>
      </w:pPr>
    </w:p>
    <w:p w14:paraId="62F9B9A9" w14:textId="77777777" w:rsidR="00B52590" w:rsidRPr="00C90D62" w:rsidRDefault="00B52590" w:rsidP="00B52590">
      <w:pPr>
        <w:spacing w:before="40" w:after="90"/>
        <w:jc w:val="both"/>
        <w:rPr>
          <w:rFonts w:ascii="DeutscheBank" w:hAnsi="DeutscheBank"/>
          <w:lang w:val="en-US"/>
        </w:rPr>
      </w:pPr>
      <w:r w:rsidRPr="00C90D62">
        <w:rPr>
          <w:rFonts w:ascii="DeutscheBank" w:hAnsi="DeutscheBank"/>
          <w:b/>
          <w:caps/>
          <w:color w:val="5A6472"/>
          <w:sz w:val="18"/>
          <w:szCs w:val="18"/>
          <w:lang w:val="en-US"/>
        </w:rPr>
        <w:t>A</w:t>
      </w:r>
      <w:r>
        <w:rPr>
          <w:rFonts w:ascii="DeutscheBank" w:hAnsi="DeutscheBank"/>
          <w:b/>
          <w:caps/>
          <w:color w:val="5A6472"/>
          <w:sz w:val="18"/>
          <w:szCs w:val="18"/>
          <w:lang w:val="en-US"/>
        </w:rPr>
        <w:t>UF EINEN BLICK</w:t>
      </w:r>
    </w:p>
    <w:tbl>
      <w:tblP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92"/>
        <w:gridCol w:w="3002"/>
        <w:gridCol w:w="3149"/>
        <w:gridCol w:w="33"/>
      </w:tblGrid>
      <w:tr w:rsidR="00B52590" w:rsidRPr="009A1DAA" w14:paraId="4FB4FEBA" w14:textId="77777777">
        <w:trPr>
          <w:trHeight w:val="954"/>
        </w:trPr>
        <w:tc>
          <w:tcPr>
            <w:tcW w:w="2892" w:type="dxa"/>
            <w:tcBorders>
              <w:top w:val="single" w:sz="6" w:space="0" w:color="FFFFFF"/>
              <w:left w:val="single" w:sz="6" w:space="0" w:color="FFFFFF"/>
              <w:bottom w:val="single" w:sz="6" w:space="0" w:color="FFFFFF"/>
              <w:right w:val="single" w:sz="6" w:space="0" w:color="FFFFFF"/>
            </w:tcBorders>
            <w:shd w:val="clear" w:color="auto" w:fill="EEF3FA"/>
            <w:tcMar>
              <w:top w:w="120" w:type="dxa"/>
              <w:left w:w="120" w:type="dxa"/>
              <w:bottom w:w="120" w:type="dxa"/>
              <w:right w:w="120" w:type="dxa"/>
            </w:tcMar>
          </w:tcPr>
          <w:p w14:paraId="675E2A39" w14:textId="77777777" w:rsidR="00ED5DA4" w:rsidRPr="000E3D12" w:rsidRDefault="00ED5DA4" w:rsidP="00ED5DA4">
            <w:pPr>
              <w:spacing w:after="40"/>
              <w:jc w:val="both"/>
              <w:rPr>
                <w:rFonts w:ascii="DeutscheBank" w:hAnsi="DeutscheBank"/>
              </w:rPr>
            </w:pPr>
            <w:r>
              <w:rPr>
                <w:rFonts w:ascii="DeutscheBank" w:hAnsi="DeutscheBank"/>
                <w:b/>
                <w:bCs/>
                <w:color w:val="0069B1"/>
                <w:sz w:val="30"/>
                <w:szCs w:val="30"/>
              </w:rPr>
              <w:t>74%</w:t>
            </w:r>
          </w:p>
          <w:p w14:paraId="3D188BAB" w14:textId="2286C485" w:rsidR="00B52590" w:rsidRPr="00CD2A58" w:rsidRDefault="00ED5DA4">
            <w:pPr>
              <w:rPr>
                <w:rFonts w:ascii="DeutscheBank" w:hAnsi="DeutscheBank"/>
              </w:rPr>
            </w:pPr>
            <w:r>
              <w:rPr>
                <w:rFonts w:ascii="DeutscheBank" w:hAnsi="DeutscheBank"/>
                <w:color w:val="5A6472"/>
                <w:sz w:val="16"/>
                <w:szCs w:val="16"/>
              </w:rPr>
              <w:t>sehen hohe Wachstumschancen in Europa</w:t>
            </w:r>
          </w:p>
        </w:tc>
        <w:tc>
          <w:tcPr>
            <w:tcW w:w="3002" w:type="dxa"/>
            <w:tcBorders>
              <w:top w:val="single" w:sz="6" w:space="0" w:color="FFFFFF"/>
              <w:left w:val="single" w:sz="6" w:space="0" w:color="FFFFFF"/>
              <w:bottom w:val="single" w:sz="6" w:space="0" w:color="FFFFFF"/>
              <w:right w:val="single" w:sz="6" w:space="0" w:color="FFFFFF"/>
            </w:tcBorders>
            <w:shd w:val="clear" w:color="auto" w:fill="EEF3FA"/>
            <w:tcMar>
              <w:top w:w="120" w:type="dxa"/>
              <w:left w:w="120" w:type="dxa"/>
              <w:bottom w:w="120" w:type="dxa"/>
              <w:right w:w="120" w:type="dxa"/>
            </w:tcMar>
          </w:tcPr>
          <w:p w14:paraId="664B1335" w14:textId="77777777" w:rsidR="00ED5DA4" w:rsidRPr="008016FE" w:rsidRDefault="00ED5DA4" w:rsidP="00ED5DA4">
            <w:pPr>
              <w:spacing w:after="40"/>
              <w:jc w:val="both"/>
              <w:rPr>
                <w:rFonts w:ascii="DeutscheBank" w:hAnsi="DeutscheBank"/>
              </w:rPr>
            </w:pPr>
            <w:r>
              <w:rPr>
                <w:rFonts w:ascii="DeutscheBank" w:hAnsi="DeutscheBank"/>
                <w:b/>
                <w:bCs/>
                <w:color w:val="0069B1"/>
                <w:sz w:val="30"/>
                <w:szCs w:val="30"/>
              </w:rPr>
              <w:t>71%</w:t>
            </w:r>
          </w:p>
          <w:p w14:paraId="78F4B352" w14:textId="692CD229" w:rsidR="00B52590" w:rsidRPr="008016FE" w:rsidRDefault="00ED5DA4">
            <w:pPr>
              <w:rPr>
                <w:rFonts w:ascii="DeutscheBank" w:hAnsi="DeutscheBank"/>
              </w:rPr>
            </w:pPr>
            <w:r>
              <w:rPr>
                <w:rFonts w:ascii="DeutscheBank" w:hAnsi="DeutscheBank"/>
                <w:color w:val="5A6472"/>
                <w:sz w:val="16"/>
                <w:szCs w:val="16"/>
              </w:rPr>
              <w:t>schreiben Europa einen Vorteil bei Innovationen, Digitalisierung und KI zu</w:t>
            </w:r>
          </w:p>
        </w:tc>
        <w:tc>
          <w:tcPr>
            <w:tcW w:w="3149" w:type="dxa"/>
            <w:tcBorders>
              <w:top w:val="single" w:sz="6" w:space="0" w:color="FFFFFF"/>
              <w:left w:val="single" w:sz="6" w:space="0" w:color="FFFFFF"/>
              <w:bottom w:val="single" w:sz="6" w:space="0" w:color="FFFFFF"/>
              <w:right w:val="single" w:sz="6" w:space="0" w:color="FFFFFF"/>
            </w:tcBorders>
            <w:shd w:val="clear" w:color="auto" w:fill="EEF3FA"/>
            <w:tcMar>
              <w:top w:w="120" w:type="dxa"/>
              <w:left w:w="120" w:type="dxa"/>
              <w:bottom w:w="120" w:type="dxa"/>
              <w:right w:w="120" w:type="dxa"/>
            </w:tcMar>
          </w:tcPr>
          <w:p w14:paraId="3759E5FE" w14:textId="77777777" w:rsidR="00ED5DA4" w:rsidRPr="000E3D12" w:rsidRDefault="00B52590" w:rsidP="00ED5DA4">
            <w:pPr>
              <w:spacing w:after="40"/>
              <w:jc w:val="both"/>
              <w:rPr>
                <w:rFonts w:ascii="DeutscheBank" w:hAnsi="DeutscheBank"/>
              </w:rPr>
            </w:pPr>
            <w:r>
              <w:rPr>
                <w:rFonts w:ascii="DeutscheBank" w:hAnsi="DeutscheBank"/>
                <w:color w:val="5A6472"/>
                <w:sz w:val="16"/>
                <w:szCs w:val="16"/>
              </w:rPr>
              <w:t xml:space="preserve"> </w:t>
            </w:r>
            <w:r w:rsidR="00ED5DA4" w:rsidRPr="000E3D12">
              <w:rPr>
                <w:rFonts w:ascii="DeutscheBank" w:hAnsi="DeutscheBank"/>
                <w:b/>
                <w:bCs/>
                <w:color w:val="0069B1"/>
                <w:sz w:val="30"/>
                <w:szCs w:val="30"/>
              </w:rPr>
              <w:t>99%</w:t>
            </w:r>
          </w:p>
          <w:p w14:paraId="629F6516" w14:textId="0ED91532" w:rsidR="00B52590" w:rsidRPr="00BE637C" w:rsidRDefault="00ED5DA4" w:rsidP="003935BE">
            <w:pPr>
              <w:spacing w:after="40"/>
              <w:rPr>
                <w:rFonts w:ascii="DeutscheBank" w:hAnsi="DeutscheBank"/>
              </w:rPr>
            </w:pPr>
            <w:r w:rsidRPr="00DC4F73">
              <w:rPr>
                <w:rFonts w:ascii="DeutscheBank" w:hAnsi="DeutscheBank"/>
                <w:color w:val="5A6472"/>
                <w:sz w:val="16"/>
                <w:szCs w:val="16"/>
              </w:rPr>
              <w:t>bezeichnen Europa als wichtigen Absatzmarkt</w:t>
            </w:r>
          </w:p>
        </w:tc>
        <w:tc>
          <w:tcPr>
            <w:tcW w:w="0" w:type="auto"/>
          </w:tcPr>
          <w:p w14:paraId="17F5E73E" w14:textId="77777777" w:rsidR="00B52590" w:rsidRPr="009A1DAA" w:rsidRDefault="00B52590">
            <w:pPr>
              <w:spacing w:after="160" w:line="24" w:lineRule="auto"/>
            </w:pPr>
          </w:p>
        </w:tc>
      </w:tr>
    </w:tbl>
    <w:p w14:paraId="3CCA40CF" w14:textId="77777777" w:rsidR="0008751D" w:rsidRPr="00145B7A" w:rsidRDefault="0008751D" w:rsidP="0008751D">
      <w:pPr>
        <w:spacing w:after="150" w:line="288" w:lineRule="auto"/>
        <w:jc w:val="both"/>
        <w:rPr>
          <w:rFonts w:ascii="DeutscheBank" w:hAnsi="DeutscheBank"/>
        </w:rPr>
      </w:pPr>
    </w:p>
    <w:p w14:paraId="6B21876E" w14:textId="700A37D8" w:rsidR="002E1866" w:rsidRPr="00CF09B2" w:rsidRDefault="002E1866" w:rsidP="00CF09B2">
      <w:pPr>
        <w:pStyle w:val="Heading2"/>
        <w:rPr>
          <w:rFonts w:ascii="DeutscheBank" w:hAnsi="DeutscheBank"/>
          <w:color w:val="000000" w:themeColor="text1"/>
          <w:sz w:val="20"/>
          <w:szCs w:val="20"/>
        </w:rPr>
      </w:pPr>
      <w:r w:rsidRPr="00A77FFD">
        <w:rPr>
          <w:rFonts w:ascii="DeutscheBank" w:hAnsi="DeutscheBank"/>
          <w:color w:val="000000" w:themeColor="text1"/>
          <w:sz w:val="20"/>
          <w:szCs w:val="20"/>
        </w:rPr>
        <w:t>Wachstumschancen treiben das Interesse, Stabilität stärkt das Vertrauen</w:t>
      </w:r>
    </w:p>
    <w:p w14:paraId="73066E8F" w14:textId="2F50F3E5" w:rsidR="00061AB6" w:rsidRDefault="005D0A5E" w:rsidP="00061AB6">
      <w:pPr>
        <w:spacing w:after="150" w:line="288" w:lineRule="auto"/>
        <w:rPr>
          <w:rFonts w:ascii="DeutscheBank" w:hAnsi="DeutscheBank"/>
          <w:sz w:val="20"/>
          <w:szCs w:val="20"/>
        </w:rPr>
      </w:pPr>
      <w:r w:rsidRPr="00F31C2C">
        <w:rPr>
          <w:rFonts w:ascii="DeutscheBank" w:hAnsi="DeutscheBank"/>
          <w:sz w:val="20"/>
          <w:szCs w:val="20"/>
        </w:rPr>
        <w:t xml:space="preserve">Die größten </w:t>
      </w:r>
      <w:r w:rsidR="00ED5DA4" w:rsidRPr="00D1745C">
        <w:rPr>
          <w:rFonts w:ascii="DeutscheBank" w:hAnsi="DeutscheBank"/>
          <w:sz w:val="20"/>
          <w:szCs w:val="20"/>
        </w:rPr>
        <w:t xml:space="preserve">Stärken </w:t>
      </w:r>
      <w:r w:rsidRPr="00F31C2C">
        <w:rPr>
          <w:rFonts w:ascii="DeutscheBank" w:hAnsi="DeutscheBank"/>
          <w:sz w:val="20"/>
          <w:szCs w:val="20"/>
        </w:rPr>
        <w:t>Europas sind zukunftsorientiert.</w:t>
      </w:r>
      <w:r w:rsidR="00ED5DA4" w:rsidRPr="00D1745C">
        <w:rPr>
          <w:rFonts w:ascii="DeutscheBank" w:hAnsi="DeutscheBank"/>
          <w:sz w:val="20"/>
          <w:szCs w:val="20"/>
        </w:rPr>
        <w:t xml:space="preserve"> An der Spitze stehen </w:t>
      </w:r>
      <w:r w:rsidR="00ED5DA4" w:rsidRPr="070A5C0E">
        <w:rPr>
          <w:rFonts w:ascii="DeutscheBank" w:hAnsi="DeutscheBank"/>
          <w:sz w:val="20"/>
          <w:szCs w:val="20"/>
        </w:rPr>
        <w:t>Wachstum</w:t>
      </w:r>
      <w:r w:rsidR="0509DEF8" w:rsidRPr="070A5C0E">
        <w:rPr>
          <w:rFonts w:ascii="DeutscheBank" w:hAnsi="DeutscheBank"/>
          <w:sz w:val="20"/>
          <w:szCs w:val="20"/>
        </w:rPr>
        <w:t>schancen</w:t>
      </w:r>
      <w:r w:rsidR="00ED5DA4" w:rsidRPr="00D1745C">
        <w:rPr>
          <w:rFonts w:ascii="DeutscheBank" w:hAnsi="DeutscheBank"/>
          <w:sz w:val="20"/>
          <w:szCs w:val="20"/>
        </w:rPr>
        <w:t xml:space="preserve">, </w:t>
      </w:r>
      <w:r w:rsidR="00ED5DA4" w:rsidRPr="372BAA19">
        <w:rPr>
          <w:rFonts w:ascii="DeutscheBank" w:hAnsi="DeutscheBank"/>
          <w:sz w:val="20"/>
          <w:szCs w:val="20"/>
        </w:rPr>
        <w:t>Innovationskraft</w:t>
      </w:r>
      <w:r w:rsidR="1FD3B53F" w:rsidRPr="070A5C0E">
        <w:rPr>
          <w:rFonts w:ascii="DeutscheBank" w:hAnsi="DeutscheBank"/>
          <w:sz w:val="20"/>
          <w:szCs w:val="20"/>
        </w:rPr>
        <w:t>,</w:t>
      </w:r>
      <w:r w:rsidR="00ED5DA4" w:rsidRPr="00D1745C">
        <w:rPr>
          <w:rFonts w:ascii="DeutscheBank" w:hAnsi="DeutscheBank"/>
          <w:sz w:val="20"/>
          <w:szCs w:val="20"/>
        </w:rPr>
        <w:t xml:space="preserve"> internationale Beziehungen</w:t>
      </w:r>
      <w:r w:rsidR="6E4DEAA8" w:rsidRPr="070A5C0E">
        <w:rPr>
          <w:rFonts w:ascii="DeutscheBank" w:hAnsi="DeutscheBank"/>
          <w:sz w:val="20"/>
          <w:szCs w:val="20"/>
        </w:rPr>
        <w:t xml:space="preserve"> sowie die</w:t>
      </w:r>
      <w:r w:rsidR="00ED5DA4" w:rsidRPr="00D1745C">
        <w:rPr>
          <w:rFonts w:ascii="DeutscheBank" w:hAnsi="DeutscheBank"/>
          <w:sz w:val="20"/>
          <w:szCs w:val="20"/>
        </w:rPr>
        <w:t xml:space="preserve"> wirtschaftliche Stabilität. </w:t>
      </w:r>
      <w:r w:rsidR="00ED5DA4" w:rsidRPr="7E94D558">
        <w:rPr>
          <w:rFonts w:ascii="DeutscheBank" w:hAnsi="DeutscheBank"/>
          <w:sz w:val="20"/>
          <w:szCs w:val="20"/>
        </w:rPr>
        <w:t>Jeden</w:t>
      </w:r>
      <w:r w:rsidR="00ED5DA4" w:rsidRPr="00D1745C">
        <w:rPr>
          <w:rFonts w:ascii="DeutscheBank" w:hAnsi="DeutscheBank"/>
          <w:sz w:val="20"/>
          <w:szCs w:val="20"/>
        </w:rPr>
        <w:t xml:space="preserve"> dieser Faktoren </w:t>
      </w:r>
      <w:r w:rsidR="00ED5DA4" w:rsidRPr="7E94D558">
        <w:rPr>
          <w:rFonts w:ascii="DeutscheBank" w:hAnsi="DeutscheBank"/>
          <w:sz w:val="20"/>
          <w:szCs w:val="20"/>
        </w:rPr>
        <w:t xml:space="preserve">bewerten </w:t>
      </w:r>
      <w:r w:rsidR="00ED5DA4" w:rsidRPr="00D1745C">
        <w:rPr>
          <w:rFonts w:ascii="DeutscheBank" w:hAnsi="DeutscheBank"/>
          <w:sz w:val="20"/>
          <w:szCs w:val="20"/>
        </w:rPr>
        <w:t>6</w:t>
      </w:r>
      <w:r w:rsidR="3AFBFE87" w:rsidRPr="070A5C0E">
        <w:rPr>
          <w:rFonts w:ascii="DeutscheBank" w:hAnsi="DeutscheBank"/>
          <w:sz w:val="20"/>
          <w:szCs w:val="20"/>
        </w:rPr>
        <w:t>8</w:t>
      </w:r>
      <w:r w:rsidR="00ED5DA4" w:rsidRPr="00D1745C">
        <w:rPr>
          <w:rFonts w:ascii="DeutscheBank" w:hAnsi="DeutscheBank"/>
          <w:sz w:val="20"/>
          <w:szCs w:val="20"/>
        </w:rPr>
        <w:t xml:space="preserve"> bis 74 Prozent der Befragten </w:t>
      </w:r>
      <w:r w:rsidR="00ED5DA4" w:rsidRPr="7E94D558">
        <w:rPr>
          <w:rFonts w:ascii="DeutscheBank" w:hAnsi="DeutscheBank"/>
          <w:sz w:val="20"/>
          <w:szCs w:val="20"/>
        </w:rPr>
        <w:t xml:space="preserve">als </w:t>
      </w:r>
      <w:r w:rsidR="00ED5DA4" w:rsidRPr="00D1745C">
        <w:rPr>
          <w:rFonts w:ascii="DeutscheBank" w:hAnsi="DeutscheBank"/>
          <w:sz w:val="20"/>
          <w:szCs w:val="20"/>
        </w:rPr>
        <w:t>einen Vorteil</w:t>
      </w:r>
      <w:r w:rsidR="0EE8FD3D" w:rsidRPr="070A5C0E">
        <w:rPr>
          <w:rFonts w:ascii="DeutscheBank" w:hAnsi="DeutscheBank"/>
          <w:sz w:val="20"/>
          <w:szCs w:val="20"/>
        </w:rPr>
        <w:t xml:space="preserve"> für Europa</w:t>
      </w:r>
      <w:r w:rsidR="4329BC74" w:rsidRPr="070A5C0E">
        <w:rPr>
          <w:rFonts w:ascii="DeutscheBank" w:hAnsi="DeutscheBank"/>
          <w:sz w:val="20"/>
          <w:szCs w:val="20"/>
        </w:rPr>
        <w:t>, 25 bis 32 Prozent sogar als klaren Vorteil.</w:t>
      </w:r>
      <w:r w:rsidR="00943E5A">
        <w:rPr>
          <w:rFonts w:ascii="DeutscheBank" w:hAnsi="DeutscheBank"/>
          <w:sz w:val="20"/>
          <w:szCs w:val="20"/>
        </w:rPr>
        <w:t xml:space="preserve"> </w:t>
      </w:r>
      <w:r w:rsidR="00061AB6" w:rsidRPr="00F31C2C">
        <w:rPr>
          <w:rFonts w:ascii="DeutscheBank" w:hAnsi="DeutscheBank"/>
          <w:sz w:val="20"/>
          <w:szCs w:val="20"/>
        </w:rPr>
        <w:t xml:space="preserve">Investoren </w:t>
      </w:r>
      <w:r w:rsidR="00061AB6" w:rsidRPr="7E94D558">
        <w:rPr>
          <w:rFonts w:ascii="DeutscheBank" w:hAnsi="DeutscheBank"/>
          <w:sz w:val="20"/>
          <w:szCs w:val="20"/>
        </w:rPr>
        <w:t xml:space="preserve">schätzen </w:t>
      </w:r>
      <w:r w:rsidR="00061AB6" w:rsidRPr="00F31C2C">
        <w:rPr>
          <w:rFonts w:ascii="DeutscheBank" w:hAnsi="DeutscheBank"/>
          <w:sz w:val="20"/>
          <w:szCs w:val="20"/>
        </w:rPr>
        <w:t xml:space="preserve">damit </w:t>
      </w:r>
      <w:r w:rsidR="00061AB6" w:rsidRPr="7E94D558">
        <w:rPr>
          <w:rFonts w:ascii="DeutscheBank" w:hAnsi="DeutscheBank"/>
          <w:sz w:val="20"/>
          <w:szCs w:val="20"/>
        </w:rPr>
        <w:t xml:space="preserve">vor allem </w:t>
      </w:r>
      <w:r w:rsidR="00061AB6" w:rsidRPr="00F31C2C">
        <w:rPr>
          <w:rFonts w:ascii="DeutscheBank" w:hAnsi="DeutscheBank"/>
          <w:sz w:val="20"/>
          <w:szCs w:val="20"/>
        </w:rPr>
        <w:t>die Chancen Europas</w:t>
      </w:r>
      <w:r w:rsidR="00061AB6" w:rsidRPr="7E94D558">
        <w:rPr>
          <w:rFonts w:ascii="DeutscheBank" w:hAnsi="DeutscheBank"/>
          <w:sz w:val="20"/>
          <w:szCs w:val="20"/>
        </w:rPr>
        <w:t>. Stabilität und</w:t>
      </w:r>
      <w:r w:rsidR="00061AB6" w:rsidRPr="00F31C2C">
        <w:rPr>
          <w:rFonts w:ascii="DeutscheBank" w:hAnsi="DeutscheBank"/>
          <w:sz w:val="20"/>
          <w:szCs w:val="20"/>
        </w:rPr>
        <w:t xml:space="preserve"> Verlässlichkeit </w:t>
      </w:r>
      <w:r w:rsidR="00061AB6" w:rsidRPr="7E94D558">
        <w:rPr>
          <w:rFonts w:ascii="DeutscheBank" w:hAnsi="DeutscheBank"/>
          <w:sz w:val="20"/>
          <w:szCs w:val="20"/>
        </w:rPr>
        <w:t>unterstützen</w:t>
      </w:r>
      <w:r w:rsidR="00061AB6" w:rsidRPr="00F31C2C">
        <w:rPr>
          <w:rFonts w:ascii="DeutscheBank" w:hAnsi="DeutscheBank"/>
          <w:sz w:val="20"/>
          <w:szCs w:val="20"/>
        </w:rPr>
        <w:t xml:space="preserve"> dabei das </w:t>
      </w:r>
      <w:r w:rsidR="00061AB6" w:rsidRPr="7E94D558">
        <w:rPr>
          <w:rFonts w:ascii="DeutscheBank" w:hAnsi="DeutscheBank"/>
          <w:sz w:val="20"/>
          <w:szCs w:val="20"/>
        </w:rPr>
        <w:t xml:space="preserve">Ansehen </w:t>
      </w:r>
      <w:r w:rsidR="00061AB6" w:rsidRPr="00F31C2C">
        <w:rPr>
          <w:rFonts w:ascii="DeutscheBank" w:hAnsi="DeutscheBank"/>
          <w:sz w:val="20"/>
          <w:szCs w:val="20"/>
        </w:rPr>
        <w:t xml:space="preserve">als </w:t>
      </w:r>
      <w:r w:rsidR="00061AB6" w:rsidRPr="7E94D558">
        <w:rPr>
          <w:rFonts w:ascii="DeutscheBank" w:hAnsi="DeutscheBank"/>
          <w:sz w:val="20"/>
          <w:szCs w:val="20"/>
        </w:rPr>
        <w:t>Investitionsgelegenheit.</w:t>
      </w:r>
    </w:p>
    <w:p w14:paraId="55C53A1F" w14:textId="77777777" w:rsidR="00061AB6" w:rsidRDefault="00061AB6" w:rsidP="00ED5DA4">
      <w:pPr>
        <w:spacing w:after="150" w:line="288" w:lineRule="auto"/>
        <w:rPr>
          <w:rFonts w:ascii="DeutscheBank" w:hAnsi="DeutscheBank"/>
          <w:sz w:val="20"/>
          <w:szCs w:val="20"/>
        </w:rPr>
      </w:pPr>
    </w:p>
    <w:p w14:paraId="2E19D738" w14:textId="1F3BB7D1" w:rsidR="00D77BED" w:rsidRPr="00117910" w:rsidRDefault="00D77BED" w:rsidP="00D77BED">
      <w:pPr>
        <w:pStyle w:val="Copy"/>
        <w:rPr>
          <w:rFonts w:ascii="DeutscheBank" w:hAnsi="DeutscheBank"/>
          <w:lang w:val="de-DE"/>
        </w:rPr>
      </w:pPr>
      <w:r w:rsidRPr="00117910">
        <w:rPr>
          <w:rFonts w:ascii="DeutscheBank" w:hAnsi="DeutscheBank"/>
          <w:b/>
          <w:lang w:val="de-DE"/>
        </w:rPr>
        <w:t xml:space="preserve">Abbildung </w:t>
      </w:r>
      <w:r w:rsidR="007B6E89" w:rsidRPr="00117910">
        <w:rPr>
          <w:rFonts w:ascii="DeutscheBank" w:hAnsi="DeutscheBank"/>
          <w:b/>
          <w:lang w:val="de-DE"/>
        </w:rPr>
        <w:t>9</w:t>
      </w:r>
      <w:r w:rsidRPr="00117910">
        <w:rPr>
          <w:rFonts w:ascii="DeutscheBank" w:hAnsi="DeutscheBank"/>
          <w:b/>
          <w:lang w:val="de-DE"/>
        </w:rPr>
        <w:t>: Die wichtigsten Stärken Europas im Vergleich zu anderen Regionen</w:t>
      </w:r>
      <w:r w:rsidR="00A333AB" w:rsidRPr="00117910">
        <w:rPr>
          <w:rFonts w:ascii="DeutscheBank" w:hAnsi="DeutscheBank"/>
          <w:b/>
          <w:lang w:val="de-DE"/>
        </w:rPr>
        <w:t xml:space="preserve">                          </w:t>
      </w:r>
      <w:proofErr w:type="gramStart"/>
      <w:r w:rsidR="00A333AB" w:rsidRPr="00117910">
        <w:rPr>
          <w:rFonts w:ascii="DeutscheBank" w:hAnsi="DeutscheBank"/>
          <w:b/>
          <w:lang w:val="de-DE"/>
        </w:rPr>
        <w:t xml:space="preserve">  </w:t>
      </w:r>
      <w:r w:rsidRPr="00117910">
        <w:rPr>
          <w:rFonts w:ascii="DeutscheBank" w:hAnsi="DeutscheBank"/>
          <w:b/>
          <w:lang w:val="de-DE"/>
        </w:rPr>
        <w:t xml:space="preserve"> </w:t>
      </w:r>
      <w:r w:rsidRPr="00117910">
        <w:rPr>
          <w:rFonts w:ascii="DeutscheBank" w:eastAsia="Arial" w:hAnsi="DeutscheBank" w:cs="Arial"/>
          <w:color w:val="222222"/>
          <w:lang w:val="de-DE" w:eastAsia="de-DE"/>
        </w:rPr>
        <w:t>(</w:t>
      </w:r>
      <w:proofErr w:type="gramEnd"/>
      <w:r w:rsidRPr="00117910">
        <w:rPr>
          <w:rFonts w:ascii="DeutscheBank" w:eastAsia="Arial" w:hAnsi="DeutscheBank" w:cs="Arial"/>
          <w:color w:val="222222"/>
          <w:lang w:val="de-DE" w:eastAsia="de-DE"/>
        </w:rPr>
        <w:t>alle Befragten)</w:t>
      </w:r>
    </w:p>
    <w:p w14:paraId="3062391D" w14:textId="77777777" w:rsidR="00D77BED" w:rsidRPr="005264A7" w:rsidRDefault="00D77BED" w:rsidP="00D77BED">
      <w:pPr>
        <w:keepNext/>
        <w:spacing w:before="140" w:after="40"/>
        <w:jc w:val="center"/>
        <w:rPr>
          <w:rFonts w:ascii="DeutscheBank" w:hAnsi="DeutscheBank"/>
        </w:rPr>
      </w:pPr>
      <w:r w:rsidRPr="00463BA2">
        <w:rPr>
          <w:rFonts w:ascii="DeutscheBank" w:hAnsi="DeutscheBank"/>
          <w:noProof/>
        </w:rPr>
        <w:drawing>
          <wp:inline distT="0" distB="0" distL="0" distR="0" wp14:anchorId="42F8F524" wp14:editId="30CF089D">
            <wp:extent cx="5192202" cy="2547453"/>
            <wp:effectExtent l="0" t="0" r="8890" b="5715"/>
            <wp:docPr id="1917385209" name="Grafik 14" descr="Horizontales, gestapeltes Balkendiagramm zur Bewertung von Chancen und Stabilität in vier Wirtschaftsbereichen, mit gestrichelter 50-%-Vorteilslinie und TOP-2-Werten rechts. Wachstumschancen führen mit 74 % starkem oder mittlerem Vorteil, gefolgt von Innovation, Digitalisierung &amp; KI (71 %), internationalen Beziehungen (70 %) sowie Wirtschafts- und Marktstabilität (68 %); Farbstufen reichen von starkem Vorteil bis starkem Nacht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85209" name="Grafik 14" descr="Horizontales, gestapeltes Balkendiagramm zur Bewertung von Chancen und Stabilität in vier Wirtschaftsbereichen, mit gestrichelter 50-%-Vorteilslinie und TOP-2-Werten rechts. Wachstumschancen führen mit 74 % starkem oder mittlerem Vorteil, gefolgt von Innovation, Digitalisierung &amp; KI (71 %), internationalen Beziehungen (70 %) sowie Wirtschafts- und Marktstabilität (68 %); Farbstufen reichen von starkem Vorteil bis starkem Nachteil."/>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03239" cy="2552868"/>
                    </a:xfrm>
                    <a:prstGeom prst="rect">
                      <a:avLst/>
                    </a:prstGeom>
                    <a:noFill/>
                    <a:ln>
                      <a:noFill/>
                    </a:ln>
                  </pic:spPr>
                </pic:pic>
              </a:graphicData>
            </a:graphic>
          </wp:inline>
        </w:drawing>
      </w:r>
    </w:p>
    <w:p w14:paraId="4335E919" w14:textId="77777777" w:rsidR="00D77BED" w:rsidRDefault="00D77BED" w:rsidP="00D77BED">
      <w:pPr>
        <w:keepNext/>
        <w:spacing w:before="140" w:after="40"/>
        <w:rPr>
          <w:rFonts w:ascii="DeutscheBank" w:hAnsi="DeutscheBank"/>
        </w:rPr>
      </w:pPr>
    </w:p>
    <w:p w14:paraId="063C3C94" w14:textId="77777777" w:rsidR="00D77BED" w:rsidRPr="00117910" w:rsidRDefault="00D77BED" w:rsidP="00D77BED">
      <w:pPr>
        <w:keepNext/>
        <w:spacing w:before="140" w:after="40"/>
        <w:rPr>
          <w:rFonts w:ascii="DeutscheBank" w:hAnsi="DeutscheBank"/>
          <w:color w:val="000000" w:themeColor="text1"/>
          <w:sz w:val="16"/>
          <w:szCs w:val="16"/>
        </w:rPr>
      </w:pPr>
      <w:r w:rsidRPr="00E6707A">
        <w:rPr>
          <w:rFonts w:ascii="DeutscheBank" w:hAnsi="DeutscheBank"/>
          <w:b/>
          <w:bCs/>
          <w:color w:val="000000" w:themeColor="text1"/>
          <w:sz w:val="16"/>
          <w:szCs w:val="16"/>
        </w:rPr>
        <w:t xml:space="preserve">Quelle: </w:t>
      </w:r>
      <w:r w:rsidRPr="00E6707A">
        <w:rPr>
          <w:rFonts w:ascii="DeutscheBank" w:hAnsi="DeutscheBank"/>
          <w:color w:val="000000" w:themeColor="text1"/>
          <w:sz w:val="16"/>
          <w:szCs w:val="16"/>
        </w:rPr>
        <w:t xml:space="preserve">Global Sentiment Survey on Europe 2026, B2B online Studie. </w:t>
      </w:r>
      <w:r w:rsidRPr="00117910">
        <w:rPr>
          <w:rFonts w:ascii="DeutscheBank" w:hAnsi="DeutscheBank"/>
          <w:color w:val="000000" w:themeColor="text1"/>
          <w:sz w:val="16"/>
          <w:szCs w:val="16"/>
        </w:rPr>
        <w:t>Basis</w:t>
      </w:r>
      <w:r w:rsidRPr="00117910">
        <w:rPr>
          <w:rFonts w:ascii="DeutscheBank" w:hAnsi="DeutscheBank"/>
          <w:b/>
          <w:bCs/>
          <w:color w:val="000000" w:themeColor="text1"/>
          <w:sz w:val="16"/>
          <w:szCs w:val="16"/>
        </w:rPr>
        <w:t>:</w:t>
      </w:r>
      <w:r w:rsidRPr="00117910">
        <w:rPr>
          <w:rFonts w:ascii="DeutscheBank" w:hAnsi="DeutscheBank"/>
          <w:color w:val="000000" w:themeColor="text1"/>
          <w:sz w:val="16"/>
          <w:szCs w:val="16"/>
        </w:rPr>
        <w:t xml:space="preserve"> n = 1,200</w:t>
      </w:r>
    </w:p>
    <w:p w14:paraId="208A80E3" w14:textId="710F2D42" w:rsidR="00F107E3" w:rsidRPr="00117910" w:rsidRDefault="00F107E3">
      <w:pPr>
        <w:spacing w:after="160" w:line="24" w:lineRule="auto"/>
        <w:rPr>
          <w:rFonts w:ascii="DeutscheBank" w:hAnsi="DeutscheBank"/>
          <w:color w:val="000000" w:themeColor="text1"/>
          <w:sz w:val="16"/>
          <w:szCs w:val="16"/>
        </w:rPr>
      </w:pPr>
      <w:r w:rsidRPr="00117910">
        <w:rPr>
          <w:rFonts w:ascii="DeutscheBank" w:hAnsi="DeutscheBank"/>
          <w:color w:val="000000" w:themeColor="text1"/>
          <w:sz w:val="16"/>
          <w:szCs w:val="16"/>
        </w:rPr>
        <w:br w:type="page"/>
      </w:r>
    </w:p>
    <w:p w14:paraId="2E9F8E44" w14:textId="321C8E86" w:rsidR="0008751D" w:rsidRPr="000E3D12" w:rsidRDefault="00C138D1" w:rsidP="00844DF5">
      <w:pPr>
        <w:pStyle w:val="Heading2"/>
        <w:numPr>
          <w:ilvl w:val="0"/>
          <w:numId w:val="0"/>
        </w:numPr>
        <w:rPr>
          <w:rFonts w:ascii="DeutscheBank" w:hAnsi="DeutscheBank"/>
          <w:color w:val="000000" w:themeColor="text1"/>
          <w:sz w:val="20"/>
          <w:szCs w:val="20"/>
        </w:rPr>
      </w:pPr>
      <w:r w:rsidRPr="000E3D12">
        <w:rPr>
          <w:rFonts w:ascii="DeutscheBank" w:hAnsi="DeutscheBank"/>
          <w:color w:val="000000" w:themeColor="text1"/>
          <w:sz w:val="20"/>
          <w:szCs w:val="20"/>
        </w:rPr>
        <w:lastRenderedPageBreak/>
        <w:t>Europa wird als Absatzmarkt nahezu einhellig geschätzt</w:t>
      </w:r>
    </w:p>
    <w:p w14:paraId="3A21A33E" w14:textId="596087C6" w:rsidR="0008751D" w:rsidRPr="000E3D12" w:rsidRDefault="00A56DE8" w:rsidP="2EAC6EF2">
      <w:pPr>
        <w:spacing w:after="150" w:line="288" w:lineRule="auto"/>
        <w:rPr>
          <w:rFonts w:ascii="DeutscheBank" w:hAnsi="DeutscheBank"/>
          <w:sz w:val="20"/>
          <w:szCs w:val="20"/>
        </w:rPr>
      </w:pPr>
      <w:r w:rsidRPr="000E3D12">
        <w:rPr>
          <w:rFonts w:ascii="DeutscheBank" w:hAnsi="DeutscheBank"/>
          <w:sz w:val="20"/>
          <w:szCs w:val="20"/>
        </w:rPr>
        <w:t>Auf der Nachfrageseite ist das Bild eindeutig. Europa wird nahezu einhellig als Absatzmarkt geschätzt: 99 Prozent der Befragten stufen die Region als wichtig für ihr Wachstum in den kommenden drei bis fünf Jahren ein. 58 Prozent halten sie sogar für sehr wichtig, weitere 41 Prozent für eher wichtig. Die Kaufkraft Europas – getragen von einer großen, wohlhabenden und stabilen Konsumentenbasis – bleibt einer der wichtigsten Gründe für die Präsenz internationaler Unternehmen</w:t>
      </w:r>
      <w:r w:rsidR="0008751D" w:rsidRPr="000E3D12">
        <w:rPr>
          <w:rFonts w:ascii="DeutscheBank" w:hAnsi="DeutscheBank"/>
          <w:sz w:val="20"/>
          <w:szCs w:val="20"/>
        </w:rPr>
        <w:t>.</w:t>
      </w:r>
    </w:p>
    <w:p w14:paraId="37804183" w14:textId="792249AA" w:rsidR="0008751D" w:rsidRPr="00F339EE" w:rsidRDefault="00A56DE8" w:rsidP="0008751D">
      <w:pPr>
        <w:pStyle w:val="Caption"/>
        <w:rPr>
          <w:rFonts w:ascii="DeutscheBank" w:eastAsia="Arial" w:hAnsi="DeutscheBank" w:cs="Arial"/>
          <w:lang w:val="de-DE" w:eastAsia="de-DE"/>
          <w14:ligatures w14:val="none"/>
        </w:rPr>
      </w:pPr>
      <w:r w:rsidRPr="7E94D558">
        <w:rPr>
          <w:rFonts w:ascii="DeutscheBank" w:eastAsia="Arial" w:hAnsi="DeutscheBank" w:cs="Arial"/>
          <w:lang w:val="de-DE" w:eastAsia="de-DE"/>
          <w14:ligatures w14:val="none"/>
        </w:rPr>
        <w:t>Abbildung</w:t>
      </w:r>
      <w:r w:rsidR="0008751D" w:rsidRPr="7E94D558">
        <w:rPr>
          <w:rFonts w:ascii="DeutscheBank" w:eastAsia="Arial" w:hAnsi="DeutscheBank" w:cs="Arial"/>
          <w:lang w:val="de-DE" w:eastAsia="de-DE"/>
          <w14:ligatures w14:val="none"/>
        </w:rPr>
        <w:t xml:space="preserve"> </w:t>
      </w:r>
      <w:r w:rsidR="00EB3A85">
        <w:rPr>
          <w:rFonts w:ascii="DeutscheBank" w:eastAsia="Arial" w:hAnsi="DeutscheBank" w:cs="Arial"/>
          <w:lang w:val="de-DE" w:eastAsia="de-DE"/>
          <w14:ligatures w14:val="none"/>
        </w:rPr>
        <w:t>10</w:t>
      </w:r>
      <w:r w:rsidR="0008751D" w:rsidRPr="7E94D558">
        <w:rPr>
          <w:rFonts w:ascii="DeutscheBank" w:eastAsia="Arial" w:hAnsi="DeutscheBank" w:cs="Arial"/>
          <w:lang w:val="de-DE" w:eastAsia="de-DE"/>
          <w14:ligatures w14:val="none"/>
        </w:rPr>
        <w:t xml:space="preserve">: </w:t>
      </w:r>
      <w:r w:rsidR="00F339EE" w:rsidRPr="7E94D558">
        <w:rPr>
          <w:rFonts w:ascii="DeutscheBank" w:eastAsia="Arial" w:hAnsi="DeutscheBank" w:cs="Arial"/>
          <w:lang w:val="de-DE" w:eastAsia="de-DE"/>
          <w14:ligatures w14:val="none"/>
        </w:rPr>
        <w:t xml:space="preserve">Anteil der Befragten, die Europa </w:t>
      </w:r>
      <w:r w:rsidR="577C72E3" w:rsidRPr="7E94D558">
        <w:rPr>
          <w:rFonts w:ascii="DeutscheBank" w:eastAsia="Arial" w:hAnsi="DeutscheBank" w:cs="Arial"/>
          <w:lang w:val="de-DE" w:eastAsia="de-DE"/>
        </w:rPr>
        <w:t xml:space="preserve">in den nächsten fünf Jahren </w:t>
      </w:r>
      <w:r w:rsidR="00F339EE" w:rsidRPr="7E94D558">
        <w:rPr>
          <w:rFonts w:ascii="DeutscheBank" w:eastAsia="Arial" w:hAnsi="DeutscheBank" w:cs="Arial"/>
          <w:lang w:val="de-DE" w:eastAsia="de-DE"/>
        </w:rPr>
        <w:t>als wichtigen Absatzmarkt bewerten</w:t>
      </w:r>
    </w:p>
    <w:p w14:paraId="4E5E1D13" w14:textId="42E8C001" w:rsidR="0008751D" w:rsidRPr="00F339EE" w:rsidRDefault="0008751D" w:rsidP="0008751D">
      <w:pPr>
        <w:pStyle w:val="Copy"/>
        <w:rPr>
          <w:rFonts w:ascii="DeutscheBank" w:hAnsi="DeutscheBank"/>
          <w:lang w:val="de-DE"/>
        </w:rPr>
      </w:pPr>
      <w:r w:rsidRPr="7E94D558">
        <w:rPr>
          <w:rFonts w:ascii="DeutscheBank" w:hAnsi="DeutscheBank"/>
          <w:lang w:val="de-DE"/>
        </w:rPr>
        <w:t xml:space="preserve"> </w:t>
      </w:r>
      <w:r w:rsidRPr="7E94D558">
        <w:rPr>
          <w:rFonts w:ascii="DeutscheBank" w:eastAsia="Arial" w:hAnsi="DeutscheBank" w:cs="Arial"/>
          <w:color w:val="222222"/>
          <w:lang w:val="de-DE" w:eastAsia="de-DE"/>
        </w:rPr>
        <w:t>(all</w:t>
      </w:r>
      <w:r w:rsidR="00F339EE" w:rsidRPr="7E94D558">
        <w:rPr>
          <w:rFonts w:ascii="DeutscheBank" w:eastAsia="Arial" w:hAnsi="DeutscheBank" w:cs="Arial"/>
          <w:color w:val="222222"/>
          <w:lang w:val="de-DE" w:eastAsia="de-DE"/>
        </w:rPr>
        <w:t>e Befragten</w:t>
      </w:r>
      <w:r w:rsidRPr="7E94D558">
        <w:rPr>
          <w:rFonts w:ascii="DeutscheBank" w:eastAsia="Arial" w:hAnsi="DeutscheBank" w:cs="Arial"/>
          <w:color w:val="222222"/>
          <w:lang w:val="de-DE" w:eastAsia="de-DE"/>
        </w:rPr>
        <w:t>)</w:t>
      </w:r>
    </w:p>
    <w:p w14:paraId="11BE8F70" w14:textId="7E446D99" w:rsidR="0032165B" w:rsidRPr="0032165B" w:rsidRDefault="0032165B" w:rsidP="0032165B">
      <w:pPr>
        <w:keepNext/>
        <w:spacing w:before="140" w:after="40"/>
        <w:jc w:val="center"/>
        <w:rPr>
          <w:rFonts w:ascii="DeutscheBank" w:hAnsi="DeutscheBank"/>
        </w:rPr>
      </w:pPr>
      <w:r w:rsidRPr="0032165B">
        <w:rPr>
          <w:rFonts w:ascii="DeutscheBank" w:hAnsi="DeutscheBank"/>
          <w:noProof/>
        </w:rPr>
        <w:drawing>
          <wp:inline distT="0" distB="0" distL="0" distR="0" wp14:anchorId="21E60E47" wp14:editId="100A4C84">
            <wp:extent cx="3238500" cy="2094387"/>
            <wp:effectExtent l="0" t="0" r="0" b="1270"/>
            <wp:docPr id="2109880097" name="Grafik 24" descr="Donutdiagramm zur Verteilung von Wichtigkeitseinschätzungen: 58 % bewerten Europa als Absatzmarkt als „Sehr wichtig“, 41 % als „Eher wichtig“ und 1 % als „Eher unwichtig“.  &#10;Legende rechts ordnet dunkelblaue, blaue und hellblaue Segmente den Kategorien zu; „Überhaupt nicht wichtig“ erreicht 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880097" name="Grafik 24" descr="Donutdiagramm zur Verteilung von Wichtigkeitseinschätzungen: 58 % bewerten Europa als Absatzmarkt als „Sehr wichtig“, 41 % als „Eher wichtig“ und 1 % als „Eher unwichtig“.  &#10;Legende rechts ordnet dunkelblaue, blaue und hellblaue Segmente den Kategorien zu; „Überhaupt nicht wichtig“ erreicht 0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51368" cy="2102709"/>
                    </a:xfrm>
                    <a:prstGeom prst="rect">
                      <a:avLst/>
                    </a:prstGeom>
                    <a:noFill/>
                    <a:ln>
                      <a:noFill/>
                    </a:ln>
                  </pic:spPr>
                </pic:pic>
              </a:graphicData>
            </a:graphic>
          </wp:inline>
        </w:drawing>
      </w:r>
    </w:p>
    <w:p w14:paraId="12A96085" w14:textId="77777777" w:rsidR="0032165B" w:rsidRPr="001E5405" w:rsidRDefault="0032165B" w:rsidP="0032165B">
      <w:pPr>
        <w:keepNext/>
        <w:spacing w:before="140" w:after="40"/>
        <w:rPr>
          <w:rFonts w:ascii="DeutscheBank" w:hAnsi="DeutscheBank"/>
        </w:rPr>
      </w:pPr>
    </w:p>
    <w:p w14:paraId="7E1ED09C" w14:textId="77777777" w:rsidR="00F31C2C" w:rsidRDefault="00F31C2C" w:rsidP="00F339EE">
      <w:pPr>
        <w:spacing w:after="180"/>
        <w:jc w:val="both"/>
        <w:rPr>
          <w:rFonts w:ascii="DeutscheBank" w:hAnsi="DeutscheBank"/>
          <w:b/>
          <w:bCs/>
          <w:color w:val="000000" w:themeColor="text1"/>
          <w:sz w:val="16"/>
          <w:szCs w:val="16"/>
          <w:lang w:val="en-GB"/>
        </w:rPr>
      </w:pPr>
    </w:p>
    <w:p w14:paraId="6F1FCC5C" w14:textId="7EF0FCCA" w:rsidR="00F339EE" w:rsidRPr="00F31C2C" w:rsidRDefault="00F339EE" w:rsidP="00F339EE">
      <w:pPr>
        <w:spacing w:after="180"/>
        <w:jc w:val="both"/>
        <w:rPr>
          <w:rFonts w:ascii="DeutscheBank" w:hAnsi="DeutscheBank"/>
          <w:lang w:val="en-US"/>
        </w:rPr>
      </w:pPr>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F31C2C">
        <w:rPr>
          <w:rFonts w:ascii="DeutscheBank" w:hAnsi="DeutscheBank"/>
          <w:color w:val="000000" w:themeColor="text1"/>
          <w:sz w:val="16"/>
          <w:szCs w:val="16"/>
          <w:lang w:val="en-US"/>
        </w:rPr>
        <w:t>Basis</w:t>
      </w:r>
      <w:r w:rsidRPr="00F31C2C">
        <w:rPr>
          <w:rFonts w:ascii="DeutscheBank" w:hAnsi="DeutscheBank"/>
          <w:b/>
          <w:bCs/>
          <w:color w:val="000000" w:themeColor="text1"/>
          <w:sz w:val="16"/>
          <w:szCs w:val="16"/>
          <w:lang w:val="en-US"/>
        </w:rPr>
        <w:t>:</w:t>
      </w:r>
      <w:r w:rsidRPr="00F31C2C">
        <w:rPr>
          <w:rFonts w:ascii="DeutscheBank" w:hAnsi="DeutscheBank"/>
          <w:color w:val="000000" w:themeColor="text1"/>
          <w:sz w:val="16"/>
          <w:szCs w:val="16"/>
          <w:lang w:val="en-US"/>
        </w:rPr>
        <w:t xml:space="preserve"> n = 1,200 </w:t>
      </w:r>
    </w:p>
    <w:p w14:paraId="783F1251" w14:textId="77777777" w:rsidR="0008751D" w:rsidRPr="001E5405" w:rsidRDefault="0008751D" w:rsidP="0008751D">
      <w:pPr>
        <w:spacing w:after="180"/>
        <w:jc w:val="both"/>
        <w:rPr>
          <w:rFonts w:ascii="DeutscheBank" w:hAnsi="DeutscheBank"/>
          <w:lang w:val="en-GB"/>
        </w:rPr>
      </w:pPr>
    </w:p>
    <w:p w14:paraId="26AEAB88" w14:textId="5839E8CD" w:rsidR="0008751D" w:rsidRPr="00BB676A" w:rsidRDefault="00E04DBD" w:rsidP="00AA76E2">
      <w:pPr>
        <w:pStyle w:val="Heading2"/>
        <w:rPr>
          <w:rFonts w:ascii="DeutscheBank" w:hAnsi="DeutscheBank"/>
          <w:color w:val="000000" w:themeColor="text1"/>
          <w:sz w:val="20"/>
          <w:szCs w:val="20"/>
          <w:lang w:val="en-GB"/>
        </w:rPr>
      </w:pPr>
      <w:r w:rsidRPr="00E04DBD">
        <w:rPr>
          <w:rFonts w:ascii="DeutscheBank" w:hAnsi="DeutscheBank"/>
          <w:color w:val="000000" w:themeColor="text1"/>
          <w:sz w:val="20"/>
          <w:szCs w:val="20"/>
          <w:lang w:val="en-GB"/>
        </w:rPr>
        <w:t xml:space="preserve">Großes Potenzial als </w:t>
      </w:r>
      <w:r w:rsidR="00156145">
        <w:rPr>
          <w:rFonts w:ascii="DeutscheBank" w:hAnsi="DeutscheBank"/>
          <w:color w:val="000000" w:themeColor="text1"/>
          <w:sz w:val="20"/>
          <w:szCs w:val="20"/>
          <w:lang w:val="en-GB"/>
        </w:rPr>
        <w:t>Industrie</w:t>
      </w:r>
      <w:r w:rsidR="00156145" w:rsidRPr="00E04DBD">
        <w:rPr>
          <w:rFonts w:ascii="DeutscheBank" w:hAnsi="DeutscheBank"/>
          <w:color w:val="000000" w:themeColor="text1"/>
          <w:sz w:val="20"/>
          <w:szCs w:val="20"/>
          <w:lang w:val="en-GB"/>
        </w:rPr>
        <w:t>standor</w:t>
      </w:r>
      <w:r w:rsidRPr="00E04DBD">
        <w:rPr>
          <w:rFonts w:ascii="DeutscheBank" w:hAnsi="DeutscheBank"/>
          <w:color w:val="000000" w:themeColor="text1"/>
          <w:sz w:val="20"/>
          <w:szCs w:val="20"/>
          <w:lang w:val="en-GB"/>
        </w:rPr>
        <w:t>t</w:t>
      </w:r>
    </w:p>
    <w:p w14:paraId="2B056246" w14:textId="09CF94D1" w:rsidR="00947DE4" w:rsidRPr="00947DE4" w:rsidRDefault="00947DE4" w:rsidP="00947DE4">
      <w:pPr>
        <w:spacing w:after="150" w:line="288" w:lineRule="auto"/>
        <w:rPr>
          <w:rFonts w:ascii="DeutscheBank" w:hAnsi="DeutscheBank"/>
          <w:sz w:val="20"/>
          <w:szCs w:val="20"/>
        </w:rPr>
      </w:pPr>
      <w:r w:rsidRPr="00947DE4">
        <w:rPr>
          <w:rFonts w:ascii="DeutscheBank" w:hAnsi="DeutscheBank"/>
          <w:sz w:val="20"/>
          <w:szCs w:val="20"/>
        </w:rPr>
        <w:t xml:space="preserve">Europas Attraktivität beschränkt sich nicht auf die Nachfrageseite. Obwohl sich die aktuellen Investitionen vor allem auf den Konsumentenmarkt konzentrieren, bewerten </w:t>
      </w:r>
      <w:r w:rsidR="5CCC3E40" w:rsidRPr="7E94D558">
        <w:rPr>
          <w:rFonts w:ascii="DeutscheBank" w:hAnsi="DeutscheBank"/>
          <w:sz w:val="20"/>
          <w:szCs w:val="20"/>
        </w:rPr>
        <w:t xml:space="preserve">mehr als </w:t>
      </w:r>
      <w:r w:rsidRPr="00947DE4">
        <w:rPr>
          <w:rFonts w:ascii="DeutscheBank" w:hAnsi="DeutscheBank"/>
          <w:sz w:val="20"/>
          <w:szCs w:val="20"/>
        </w:rPr>
        <w:t xml:space="preserve">neun von zehn Befragten (92 Prozent) Europa auch als wichtigen Produktionsstandort – sei es für die Herstellung von Gütern, für Forschung und Entwicklung oder für Lieferketten. 51 Prozent stufen Europa </w:t>
      </w:r>
      <w:r w:rsidR="7F7B30C4" w:rsidRPr="7E94D558">
        <w:rPr>
          <w:rFonts w:ascii="DeutscheBank" w:hAnsi="DeutscheBank"/>
          <w:sz w:val="20"/>
          <w:szCs w:val="20"/>
        </w:rPr>
        <w:t xml:space="preserve">dabei </w:t>
      </w:r>
      <w:r w:rsidRPr="00947DE4">
        <w:rPr>
          <w:rFonts w:ascii="DeutscheBank" w:hAnsi="DeutscheBank"/>
          <w:sz w:val="20"/>
          <w:szCs w:val="20"/>
        </w:rPr>
        <w:t>als sehr wichtig ein, 41 Prozent als eher wichtig</w:t>
      </w:r>
      <w:r w:rsidR="688ACA5D" w:rsidRPr="7E94D558">
        <w:rPr>
          <w:rFonts w:ascii="DeutscheBank" w:hAnsi="DeutscheBank"/>
          <w:sz w:val="20"/>
          <w:szCs w:val="20"/>
        </w:rPr>
        <w:t xml:space="preserve"> – ein deutliches Zeichen für die industrielle Stärke</w:t>
      </w:r>
      <w:r w:rsidRPr="7E94D558">
        <w:rPr>
          <w:rFonts w:ascii="DeutscheBank" w:hAnsi="DeutscheBank"/>
          <w:sz w:val="20"/>
          <w:szCs w:val="20"/>
        </w:rPr>
        <w:t>.</w:t>
      </w:r>
      <w:r w:rsidRPr="00947DE4">
        <w:rPr>
          <w:rFonts w:ascii="DeutscheBank" w:hAnsi="DeutscheBank"/>
          <w:sz w:val="20"/>
          <w:szCs w:val="20"/>
        </w:rPr>
        <w:t xml:space="preserve"> Im Nahen Osten wird Europa am häufigsten als sehr wichtiger Produktionsstandort bewertet (68 Prozent).</w:t>
      </w:r>
    </w:p>
    <w:p w14:paraId="4B990837" w14:textId="0773D705" w:rsidR="0008751D" w:rsidRPr="000E3D12" w:rsidRDefault="00947DE4" w:rsidP="2EAC6EF2">
      <w:pPr>
        <w:spacing w:after="150" w:line="288" w:lineRule="auto"/>
        <w:rPr>
          <w:rFonts w:ascii="DeutscheBank" w:hAnsi="DeutscheBank"/>
          <w:sz w:val="20"/>
          <w:szCs w:val="20"/>
        </w:rPr>
      </w:pPr>
      <w:r w:rsidRPr="000E3D12">
        <w:rPr>
          <w:rFonts w:ascii="DeutscheBank" w:hAnsi="DeutscheBank"/>
          <w:sz w:val="20"/>
          <w:szCs w:val="20"/>
        </w:rPr>
        <w:t xml:space="preserve">Derzeit produzieren </w:t>
      </w:r>
      <w:r w:rsidR="4B9F3942" w:rsidRPr="7E94D558">
        <w:rPr>
          <w:rFonts w:ascii="DeutscheBank" w:hAnsi="DeutscheBank"/>
          <w:sz w:val="20"/>
          <w:szCs w:val="20"/>
        </w:rPr>
        <w:t>aller</w:t>
      </w:r>
      <w:r w:rsidR="3EF28EAF" w:rsidRPr="7E94D558">
        <w:rPr>
          <w:rFonts w:ascii="DeutscheBank" w:hAnsi="DeutscheBank"/>
          <w:sz w:val="20"/>
          <w:szCs w:val="20"/>
        </w:rPr>
        <w:t>di</w:t>
      </w:r>
      <w:r w:rsidR="4B9F3942" w:rsidRPr="7E94D558">
        <w:rPr>
          <w:rFonts w:ascii="DeutscheBank" w:hAnsi="DeutscheBank"/>
          <w:sz w:val="20"/>
          <w:szCs w:val="20"/>
        </w:rPr>
        <w:t xml:space="preserve">ngs </w:t>
      </w:r>
      <w:r w:rsidRPr="000E3D12">
        <w:rPr>
          <w:rFonts w:ascii="DeutscheBank" w:hAnsi="DeutscheBank"/>
          <w:sz w:val="20"/>
          <w:szCs w:val="20"/>
        </w:rPr>
        <w:t xml:space="preserve">lediglich 19 Prozent der Unternehmen, die schon in Europa investiert haben, auch tatsächlich </w:t>
      </w:r>
      <w:r w:rsidR="746DDD3F" w:rsidRPr="7E94D558">
        <w:rPr>
          <w:rFonts w:ascii="DeutscheBank" w:hAnsi="DeutscheBank"/>
          <w:sz w:val="20"/>
          <w:szCs w:val="20"/>
        </w:rPr>
        <w:t>vor Ort.</w:t>
      </w:r>
      <w:r w:rsidRPr="000E3D12">
        <w:rPr>
          <w:rFonts w:ascii="DeutscheBank" w:hAnsi="DeutscheBank"/>
          <w:sz w:val="20"/>
          <w:szCs w:val="20"/>
        </w:rPr>
        <w:t xml:space="preserve"> D</w:t>
      </w:r>
      <w:r w:rsidR="10F304A4" w:rsidRPr="7E94D558">
        <w:rPr>
          <w:rFonts w:ascii="DeutscheBank" w:hAnsi="DeutscheBank"/>
          <w:sz w:val="20"/>
          <w:szCs w:val="20"/>
        </w:rPr>
        <w:t>er</w:t>
      </w:r>
      <w:r w:rsidR="06B29183" w:rsidRPr="7E94D558">
        <w:rPr>
          <w:rFonts w:ascii="DeutscheBank" w:hAnsi="DeutscheBank"/>
          <w:sz w:val="20"/>
          <w:szCs w:val="20"/>
        </w:rPr>
        <w:t xml:space="preserve"> große </w:t>
      </w:r>
      <w:r w:rsidR="7280055D" w:rsidRPr="7E94D558">
        <w:rPr>
          <w:rFonts w:ascii="DeutscheBank" w:hAnsi="DeutscheBank"/>
          <w:sz w:val="20"/>
          <w:szCs w:val="20"/>
        </w:rPr>
        <w:t xml:space="preserve">Zuspruch zum </w:t>
      </w:r>
      <w:r w:rsidR="06B29183" w:rsidRPr="7E94D558">
        <w:rPr>
          <w:rFonts w:ascii="DeutscheBank" w:hAnsi="DeutscheBank"/>
          <w:sz w:val="20"/>
          <w:szCs w:val="20"/>
        </w:rPr>
        <w:t xml:space="preserve">Standort </w:t>
      </w:r>
      <w:r w:rsidRPr="7E94D558">
        <w:rPr>
          <w:rFonts w:ascii="DeutscheBank" w:hAnsi="DeutscheBank"/>
          <w:sz w:val="20"/>
          <w:szCs w:val="20"/>
        </w:rPr>
        <w:t>spiegel</w:t>
      </w:r>
      <w:r w:rsidR="4FBECBC0" w:rsidRPr="7E94D558">
        <w:rPr>
          <w:rFonts w:ascii="DeutscheBank" w:hAnsi="DeutscheBank"/>
          <w:sz w:val="20"/>
          <w:szCs w:val="20"/>
        </w:rPr>
        <w:t>t</w:t>
      </w:r>
      <w:r w:rsidRPr="000E3D12">
        <w:rPr>
          <w:rFonts w:ascii="DeutscheBank" w:hAnsi="DeutscheBank"/>
          <w:sz w:val="20"/>
          <w:szCs w:val="20"/>
        </w:rPr>
        <w:t xml:space="preserve"> daher eher Absichten wider als die aktuelle Praxis. </w:t>
      </w:r>
      <w:r w:rsidR="1AD7F36B" w:rsidRPr="7E94D558">
        <w:rPr>
          <w:rFonts w:ascii="DeutscheBank" w:hAnsi="DeutscheBank"/>
          <w:sz w:val="20"/>
          <w:szCs w:val="20"/>
        </w:rPr>
        <w:t>D</w:t>
      </w:r>
      <w:r w:rsidRPr="7E94D558">
        <w:rPr>
          <w:rFonts w:ascii="DeutscheBank" w:hAnsi="DeutscheBank"/>
          <w:sz w:val="20"/>
          <w:szCs w:val="20"/>
        </w:rPr>
        <w:t>as</w:t>
      </w:r>
      <w:r w:rsidRPr="000E3D12">
        <w:rPr>
          <w:rFonts w:ascii="DeutscheBank" w:hAnsi="DeutscheBank"/>
          <w:sz w:val="20"/>
          <w:szCs w:val="20"/>
        </w:rPr>
        <w:t xml:space="preserve"> bekundete Interesse </w:t>
      </w:r>
      <w:r w:rsidR="6B469C41" w:rsidRPr="7E94D558">
        <w:rPr>
          <w:rFonts w:ascii="DeutscheBank" w:hAnsi="DeutscheBank"/>
          <w:sz w:val="20"/>
          <w:szCs w:val="20"/>
        </w:rPr>
        <w:t xml:space="preserve">muss sich </w:t>
      </w:r>
      <w:r w:rsidRPr="000E3D12">
        <w:rPr>
          <w:rFonts w:ascii="DeutscheBank" w:hAnsi="DeutscheBank"/>
          <w:sz w:val="20"/>
          <w:szCs w:val="20"/>
        </w:rPr>
        <w:t xml:space="preserve">erst noch in konkreten Investitionen niederschlagen. Dennoch </w:t>
      </w:r>
      <w:r w:rsidR="7A499820" w:rsidRPr="7E94D558">
        <w:rPr>
          <w:rFonts w:ascii="DeutscheBank" w:hAnsi="DeutscheBank"/>
          <w:sz w:val="20"/>
          <w:szCs w:val="20"/>
        </w:rPr>
        <w:t xml:space="preserve">gilt: </w:t>
      </w:r>
      <w:r w:rsidRPr="000E3D12">
        <w:rPr>
          <w:rFonts w:ascii="DeutscheBank" w:hAnsi="DeutscheBank"/>
          <w:sz w:val="20"/>
          <w:szCs w:val="20"/>
        </w:rPr>
        <w:t xml:space="preserve">Europa </w:t>
      </w:r>
      <w:r w:rsidR="1300B7F7" w:rsidRPr="7E94D558">
        <w:rPr>
          <w:rFonts w:ascii="DeutscheBank" w:hAnsi="DeutscheBank"/>
          <w:sz w:val="20"/>
          <w:szCs w:val="20"/>
        </w:rPr>
        <w:t xml:space="preserve">wird </w:t>
      </w:r>
      <w:r w:rsidRPr="000E3D12">
        <w:rPr>
          <w:rFonts w:ascii="DeutscheBank" w:hAnsi="DeutscheBank"/>
          <w:sz w:val="20"/>
          <w:szCs w:val="20"/>
        </w:rPr>
        <w:t xml:space="preserve">sowohl auf der </w:t>
      </w:r>
      <w:r w:rsidR="018EF8C4" w:rsidRPr="10FA4F6E">
        <w:rPr>
          <w:rFonts w:ascii="DeutscheBank" w:hAnsi="DeutscheBank"/>
          <w:sz w:val="20"/>
          <w:szCs w:val="20"/>
        </w:rPr>
        <w:t>Verbraucher</w:t>
      </w:r>
      <w:r w:rsidRPr="000E3D12">
        <w:rPr>
          <w:rFonts w:ascii="DeutscheBank" w:hAnsi="DeutscheBank"/>
          <w:sz w:val="20"/>
          <w:szCs w:val="20"/>
        </w:rPr>
        <w:t xml:space="preserve">- als auch auf der Produktionsseite hoch </w:t>
      </w:r>
      <w:r w:rsidR="5F25B9FC" w:rsidRPr="7E94D558">
        <w:rPr>
          <w:rFonts w:ascii="DeutscheBank" w:hAnsi="DeutscheBank"/>
          <w:sz w:val="20"/>
          <w:szCs w:val="20"/>
        </w:rPr>
        <w:t>eingeschätzt</w:t>
      </w:r>
      <w:r w:rsidRPr="7E94D558">
        <w:rPr>
          <w:rFonts w:ascii="DeutscheBank" w:hAnsi="DeutscheBank"/>
          <w:sz w:val="20"/>
          <w:szCs w:val="20"/>
        </w:rPr>
        <w:t>.</w:t>
      </w:r>
      <w:r w:rsidRPr="000E3D12">
        <w:rPr>
          <w:rFonts w:ascii="DeutscheBank" w:hAnsi="DeutscheBank"/>
          <w:sz w:val="20"/>
          <w:szCs w:val="20"/>
        </w:rPr>
        <w:t xml:space="preserve"> </w:t>
      </w:r>
    </w:p>
    <w:p w14:paraId="3F7E8D19" w14:textId="77777777" w:rsidR="003C04BD" w:rsidRDefault="003C04BD" w:rsidP="2EAC6EF2">
      <w:pPr>
        <w:spacing w:after="150" w:line="288" w:lineRule="auto"/>
        <w:rPr>
          <w:rFonts w:ascii="DeutscheBank" w:hAnsi="DeutscheBank"/>
          <w:sz w:val="20"/>
          <w:szCs w:val="20"/>
        </w:rPr>
      </w:pPr>
    </w:p>
    <w:p w14:paraId="649021A2" w14:textId="77777777" w:rsidR="003C04BD" w:rsidRDefault="003C04BD" w:rsidP="2EAC6EF2">
      <w:pPr>
        <w:spacing w:after="150" w:line="288" w:lineRule="auto"/>
        <w:rPr>
          <w:rFonts w:ascii="DeutscheBank" w:hAnsi="DeutscheBank"/>
          <w:sz w:val="20"/>
          <w:szCs w:val="20"/>
        </w:rPr>
      </w:pPr>
    </w:p>
    <w:p w14:paraId="43FFC8A7" w14:textId="77777777" w:rsidR="004F3339" w:rsidRDefault="004F3339" w:rsidP="2EAC6EF2">
      <w:pPr>
        <w:spacing w:after="150" w:line="288" w:lineRule="auto"/>
        <w:rPr>
          <w:rFonts w:ascii="DeutscheBank" w:hAnsi="DeutscheBank"/>
          <w:sz w:val="20"/>
          <w:szCs w:val="20"/>
        </w:rPr>
      </w:pPr>
    </w:p>
    <w:p w14:paraId="1CB2D457" w14:textId="77777777" w:rsidR="00CF09B2" w:rsidRPr="000E3D12" w:rsidRDefault="00CF09B2" w:rsidP="2EAC6EF2">
      <w:pPr>
        <w:spacing w:after="150" w:line="288" w:lineRule="auto"/>
        <w:rPr>
          <w:rFonts w:ascii="DeutscheBank" w:hAnsi="DeutscheBank"/>
          <w:sz w:val="20"/>
          <w:szCs w:val="20"/>
        </w:rPr>
      </w:pPr>
    </w:p>
    <w:p w14:paraId="48DD0BF5" w14:textId="78CD699F" w:rsidR="0008751D" w:rsidRPr="00613997" w:rsidRDefault="00F31C2C" w:rsidP="0008751D">
      <w:pPr>
        <w:pStyle w:val="Caption"/>
        <w:rPr>
          <w:rFonts w:ascii="DeutscheBank" w:eastAsia="Arial" w:hAnsi="DeutscheBank" w:cs="Arial"/>
          <w:lang w:val="de-DE" w:eastAsia="de-DE"/>
          <w14:ligatures w14:val="none"/>
        </w:rPr>
      </w:pPr>
      <w:r w:rsidRPr="7E94D558">
        <w:rPr>
          <w:rFonts w:ascii="DeutscheBank" w:eastAsia="Arial" w:hAnsi="DeutscheBank" w:cs="Arial"/>
          <w:lang w:val="de-DE" w:eastAsia="de-DE"/>
          <w14:ligatures w14:val="none"/>
        </w:rPr>
        <w:lastRenderedPageBreak/>
        <w:t>Abbildung</w:t>
      </w:r>
      <w:r w:rsidR="0008751D" w:rsidRPr="7E94D558">
        <w:rPr>
          <w:rFonts w:ascii="DeutscheBank" w:eastAsia="Arial" w:hAnsi="DeutscheBank" w:cs="Arial"/>
          <w:lang w:val="de-DE" w:eastAsia="de-DE"/>
          <w14:ligatures w14:val="none"/>
        </w:rPr>
        <w:t xml:space="preserve"> 1</w:t>
      </w:r>
      <w:r w:rsidR="00EB3A85">
        <w:rPr>
          <w:rFonts w:ascii="DeutscheBank" w:eastAsia="Arial" w:hAnsi="DeutscheBank" w:cs="Arial"/>
          <w:lang w:val="de-DE" w:eastAsia="de-DE"/>
          <w14:ligatures w14:val="none"/>
        </w:rPr>
        <w:t>1</w:t>
      </w:r>
      <w:r w:rsidR="0008751D" w:rsidRPr="7E94D558">
        <w:rPr>
          <w:rFonts w:ascii="DeutscheBank" w:eastAsia="Arial" w:hAnsi="DeutscheBank" w:cs="Arial"/>
          <w:lang w:val="de-DE" w:eastAsia="de-DE"/>
          <w14:ligatures w14:val="none"/>
        </w:rPr>
        <w:t xml:space="preserve">: </w:t>
      </w:r>
      <w:r w:rsidR="13E67073" w:rsidRPr="7E94D558">
        <w:rPr>
          <w:rFonts w:ascii="DeutscheBank" w:eastAsia="Arial" w:hAnsi="DeutscheBank" w:cs="Arial"/>
          <w:lang w:val="de-DE" w:eastAsia="de-DE"/>
        </w:rPr>
        <w:t xml:space="preserve">Anteil der Befragten, die </w:t>
      </w:r>
      <w:r w:rsidR="00613997" w:rsidRPr="7E94D558">
        <w:rPr>
          <w:rFonts w:ascii="DeutscheBank" w:eastAsia="Arial" w:hAnsi="DeutscheBank" w:cs="Arial"/>
          <w:lang w:val="de-DE" w:eastAsia="de-DE"/>
        </w:rPr>
        <w:t>Europa</w:t>
      </w:r>
      <w:r w:rsidR="424F9401" w:rsidRPr="7E94D558">
        <w:rPr>
          <w:rFonts w:ascii="DeutscheBank" w:eastAsia="Arial" w:hAnsi="DeutscheBank" w:cs="Arial"/>
          <w:lang w:val="de-DE" w:eastAsia="de-DE"/>
        </w:rPr>
        <w:t xml:space="preserve"> in den nächsten fünf Jahren als</w:t>
      </w:r>
      <w:r w:rsidR="23EB90BF" w:rsidRPr="7E94D558">
        <w:rPr>
          <w:rFonts w:ascii="DeutscheBank" w:eastAsia="Arial" w:hAnsi="DeutscheBank" w:cs="Arial"/>
          <w:lang w:val="de-DE" w:eastAsia="de-DE"/>
        </w:rPr>
        <w:t xml:space="preserve"> wichtigen</w:t>
      </w:r>
      <w:r w:rsidR="424F9401" w:rsidRPr="7E94D558">
        <w:rPr>
          <w:rFonts w:ascii="DeutscheBank" w:eastAsia="Arial" w:hAnsi="DeutscheBank" w:cs="Arial"/>
          <w:lang w:val="de-DE" w:eastAsia="de-DE"/>
        </w:rPr>
        <w:t xml:space="preserve"> </w:t>
      </w:r>
      <w:r w:rsidR="00613997" w:rsidRPr="7E94D558">
        <w:rPr>
          <w:rFonts w:ascii="DeutscheBank" w:eastAsia="Arial" w:hAnsi="DeutscheBank" w:cs="Arial"/>
          <w:lang w:val="de-DE" w:eastAsia="de-DE"/>
        </w:rPr>
        <w:t>Produktionsstandort</w:t>
      </w:r>
      <w:r w:rsidR="6147AC92" w:rsidRPr="7E94D558">
        <w:rPr>
          <w:rFonts w:ascii="DeutscheBank" w:eastAsia="Arial" w:hAnsi="DeutscheBank" w:cs="Arial"/>
          <w:lang w:val="de-DE" w:eastAsia="de-DE"/>
        </w:rPr>
        <w:t xml:space="preserve"> </w:t>
      </w:r>
      <w:r w:rsidR="375078EB" w:rsidRPr="7E94D558">
        <w:rPr>
          <w:rFonts w:ascii="DeutscheBank" w:eastAsia="Arial" w:hAnsi="DeutscheBank" w:cs="Arial"/>
          <w:lang w:val="de-DE" w:eastAsia="de-DE"/>
        </w:rPr>
        <w:t>bewerten</w:t>
      </w:r>
    </w:p>
    <w:p w14:paraId="63209802" w14:textId="5AD193B2" w:rsidR="0008751D" w:rsidRPr="00613997" w:rsidRDefault="0008751D" w:rsidP="0008751D">
      <w:pPr>
        <w:pStyle w:val="Copy"/>
        <w:rPr>
          <w:rFonts w:ascii="DeutscheBank" w:hAnsi="DeutscheBank"/>
          <w:szCs w:val="20"/>
          <w:lang w:val="de-DE"/>
        </w:rPr>
      </w:pPr>
      <w:r w:rsidRPr="00613997">
        <w:rPr>
          <w:rFonts w:ascii="DeutscheBank" w:hAnsi="DeutscheBank"/>
          <w:szCs w:val="20"/>
          <w:lang w:val="de-DE"/>
        </w:rPr>
        <w:t xml:space="preserve"> </w:t>
      </w:r>
      <w:r w:rsidRPr="00613997">
        <w:rPr>
          <w:rFonts w:ascii="DeutscheBank" w:eastAsia="Arial" w:hAnsi="DeutscheBank" w:cs="Arial"/>
          <w:color w:val="222222"/>
          <w:szCs w:val="20"/>
          <w:lang w:val="de-DE" w:eastAsia="de-DE"/>
          <w14:ligatures w14:val="none"/>
        </w:rPr>
        <w:t>(all</w:t>
      </w:r>
      <w:r w:rsidR="00613997" w:rsidRPr="00613997">
        <w:rPr>
          <w:rFonts w:ascii="DeutscheBank" w:eastAsia="Arial" w:hAnsi="DeutscheBank" w:cs="Arial"/>
          <w:color w:val="222222"/>
          <w:szCs w:val="20"/>
          <w:lang w:val="de-DE" w:eastAsia="de-DE"/>
          <w14:ligatures w14:val="none"/>
        </w:rPr>
        <w:t>e Befragten</w:t>
      </w:r>
      <w:r w:rsidRPr="00613997">
        <w:rPr>
          <w:rFonts w:ascii="DeutscheBank" w:eastAsia="Arial" w:hAnsi="DeutscheBank" w:cs="Arial"/>
          <w:color w:val="222222"/>
          <w:szCs w:val="20"/>
          <w:lang w:val="de-DE" w:eastAsia="de-DE"/>
          <w14:ligatures w14:val="none"/>
        </w:rPr>
        <w:t>)</w:t>
      </w:r>
    </w:p>
    <w:p w14:paraId="53BC2321" w14:textId="3754B50A" w:rsidR="0008751D" w:rsidRPr="001E5405" w:rsidRDefault="00B66D1C" w:rsidP="00B66D1C">
      <w:pPr>
        <w:spacing w:after="150" w:line="288" w:lineRule="auto"/>
        <w:jc w:val="center"/>
        <w:rPr>
          <w:rFonts w:ascii="DeutscheBank" w:hAnsi="DeutscheBank"/>
        </w:rPr>
      </w:pPr>
      <w:r w:rsidRPr="00B66D1C">
        <w:rPr>
          <w:rFonts w:ascii="DeutscheBank" w:hAnsi="DeutscheBank"/>
          <w:noProof/>
        </w:rPr>
        <w:drawing>
          <wp:inline distT="0" distB="0" distL="0" distR="0" wp14:anchorId="643006D1" wp14:editId="3DBEF25A">
            <wp:extent cx="3998595" cy="2642370"/>
            <wp:effectExtent l="0" t="0" r="1905" b="5715"/>
            <wp:docPr id="1419869597" name="Grafik 26" descr="Kreis-Diagramm zur Bewertung der Wichtigkeit Europas als wichtigen Produktionsstandort. Dunkelblau: „Sehr wichtig“ 51 %, blau: „Eher wichtig“ 41 %, hellblau: „Eher unwichtig“ 7 %, sehr hellblau: „Überhaupt nicht wichtig“ 1 %; insgesamt stufen 92 % das Thema als wichtig 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69597" name="Grafik 26" descr="Kreis-Diagramm zur Bewertung der Wichtigkeit Europas als wichtigen Produktionsstandort. Dunkelblau: „Sehr wichtig“ 51 %, blau: „Eher wichtig“ 41 %, hellblau: „Eher unwichtig“ 7 %, sehr hellblau: „Überhaupt nicht wichtig“ 1 %; insgesamt stufen 92 % das Thema als wichtig ei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10802" cy="2650436"/>
                    </a:xfrm>
                    <a:prstGeom prst="rect">
                      <a:avLst/>
                    </a:prstGeom>
                    <a:noFill/>
                    <a:ln>
                      <a:noFill/>
                    </a:ln>
                  </pic:spPr>
                </pic:pic>
              </a:graphicData>
            </a:graphic>
          </wp:inline>
        </w:drawing>
      </w:r>
    </w:p>
    <w:p w14:paraId="4CB6F112" w14:textId="77777777" w:rsidR="0008751D" w:rsidRPr="001E5405" w:rsidRDefault="0008751D" w:rsidP="0008751D">
      <w:pPr>
        <w:keepNext/>
        <w:spacing w:before="140" w:after="40"/>
        <w:jc w:val="both"/>
        <w:rPr>
          <w:rFonts w:ascii="DeutscheBank" w:hAnsi="DeutscheBank"/>
        </w:rPr>
      </w:pPr>
    </w:p>
    <w:p w14:paraId="46B7A3F2" w14:textId="77777777" w:rsidR="00613997" w:rsidRPr="00941D04" w:rsidRDefault="00613997" w:rsidP="00613997">
      <w:pPr>
        <w:spacing w:after="180"/>
        <w:jc w:val="both"/>
        <w:rPr>
          <w:rFonts w:ascii="DeutscheBank" w:hAnsi="DeutscheBank"/>
        </w:rPr>
      </w:pPr>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941D04">
        <w:rPr>
          <w:rFonts w:ascii="DeutscheBank" w:hAnsi="DeutscheBank"/>
          <w:color w:val="000000" w:themeColor="text1"/>
          <w:sz w:val="16"/>
          <w:szCs w:val="16"/>
        </w:rPr>
        <w:t>Basis</w:t>
      </w:r>
      <w:r w:rsidRPr="00941D04">
        <w:rPr>
          <w:rFonts w:ascii="DeutscheBank" w:hAnsi="DeutscheBank"/>
          <w:b/>
          <w:bCs/>
          <w:color w:val="000000" w:themeColor="text1"/>
          <w:sz w:val="16"/>
          <w:szCs w:val="16"/>
        </w:rPr>
        <w:t>:</w:t>
      </w:r>
      <w:r w:rsidRPr="00941D04">
        <w:rPr>
          <w:rFonts w:ascii="DeutscheBank" w:hAnsi="DeutscheBank"/>
          <w:color w:val="000000" w:themeColor="text1"/>
          <w:sz w:val="16"/>
          <w:szCs w:val="16"/>
        </w:rPr>
        <w:t xml:space="preserve"> n = 1,200 </w:t>
      </w:r>
    </w:p>
    <w:p w14:paraId="590B108E" w14:textId="77777777" w:rsidR="0008751D" w:rsidRPr="001E5405" w:rsidRDefault="0008751D" w:rsidP="0008751D">
      <w:pPr>
        <w:spacing w:after="180"/>
        <w:jc w:val="both"/>
        <w:rPr>
          <w:rFonts w:ascii="DeutscheBank" w:hAnsi="DeutscheBank"/>
          <w:lang w:val="en-GB"/>
        </w:rPr>
      </w:pPr>
    </w:p>
    <w:p w14:paraId="501F38E2" w14:textId="77777777" w:rsidR="00F31C2C" w:rsidRPr="00F31C2C" w:rsidRDefault="00F31C2C" w:rsidP="00F31C2C">
      <w:pPr>
        <w:spacing w:after="150" w:line="288" w:lineRule="auto"/>
        <w:rPr>
          <w:rFonts w:ascii="DeutscheBank" w:hAnsi="DeutscheBank"/>
          <w:sz w:val="20"/>
          <w:szCs w:val="20"/>
        </w:rPr>
      </w:pPr>
    </w:p>
    <w:p w14:paraId="1E55793F" w14:textId="564B9B5D" w:rsidR="000B2BDF" w:rsidRPr="00212B80" w:rsidRDefault="000B2BDF" w:rsidP="00F31C2C">
      <w:pPr>
        <w:keepNext/>
        <w:spacing w:before="140" w:after="40"/>
        <w:rPr>
          <w:rFonts w:ascii="DeutscheBank" w:hAnsi="DeutscheBank"/>
        </w:rPr>
      </w:pPr>
    </w:p>
    <w:p w14:paraId="721F0997" w14:textId="1B096DC8" w:rsidR="0008751D" w:rsidRPr="000B5365" w:rsidRDefault="000B5365" w:rsidP="001951E8">
      <w:pPr>
        <w:pStyle w:val="Heading1"/>
        <w:pageBreakBefore/>
        <w:ind w:left="432"/>
        <w:rPr>
          <w:rFonts w:ascii="DeutscheBank" w:hAnsi="DeutscheBank"/>
          <w:sz w:val="28"/>
          <w:szCs w:val="28"/>
        </w:rPr>
      </w:pPr>
      <w:bookmarkStart w:id="12" w:name="_Toc240632249"/>
      <w:bookmarkStart w:id="13" w:name="_Toc239930536"/>
      <w:r w:rsidRPr="000B5365">
        <w:rPr>
          <w:rFonts w:ascii="DeutscheBank" w:hAnsi="DeutscheBank"/>
          <w:sz w:val="28"/>
          <w:szCs w:val="28"/>
        </w:rPr>
        <w:lastRenderedPageBreak/>
        <w:t>Deutschland an der Spitze</w:t>
      </w:r>
      <w:bookmarkEnd w:id="12"/>
      <w:r w:rsidRPr="000B5365">
        <w:rPr>
          <w:rFonts w:ascii="DeutscheBank" w:hAnsi="DeutscheBank"/>
          <w:sz w:val="28"/>
          <w:szCs w:val="28"/>
        </w:rPr>
        <w:t xml:space="preserve"> </w:t>
      </w:r>
      <w:bookmarkEnd w:id="13"/>
    </w:p>
    <w:p w14:paraId="7B2C1E54" w14:textId="655AE939" w:rsidR="00C87D6B" w:rsidRPr="00C87D6B" w:rsidRDefault="00C87D6B" w:rsidP="00C87D6B">
      <w:pPr>
        <w:spacing w:after="150" w:line="288" w:lineRule="auto"/>
        <w:rPr>
          <w:rFonts w:ascii="DeutscheBank" w:hAnsi="DeutscheBank"/>
          <w:sz w:val="20"/>
          <w:szCs w:val="20"/>
        </w:rPr>
      </w:pPr>
      <w:r w:rsidRPr="00C87D6B">
        <w:rPr>
          <w:rFonts w:ascii="DeutscheBank" w:hAnsi="DeutscheBank"/>
          <w:sz w:val="20"/>
          <w:szCs w:val="20"/>
        </w:rPr>
        <w:t xml:space="preserve">Die hohe Anziehungskraft Europas steht zwar auf einem breiten Fundament, die konkreten Investitionsabsichten verteilen sich jedoch </w:t>
      </w:r>
      <w:r w:rsidR="1B274982" w:rsidRPr="7E94D558">
        <w:rPr>
          <w:rFonts w:ascii="DeutscheBank" w:hAnsi="DeutscheBank"/>
          <w:sz w:val="20"/>
          <w:szCs w:val="20"/>
        </w:rPr>
        <w:t xml:space="preserve">nicht </w:t>
      </w:r>
      <w:r w:rsidRPr="00C87D6B">
        <w:rPr>
          <w:rFonts w:ascii="DeutscheBank" w:hAnsi="DeutscheBank"/>
          <w:sz w:val="20"/>
          <w:szCs w:val="20"/>
        </w:rPr>
        <w:t>gleichmäßig über den Kontinent. Unter den potenziellen Zielmärkten sticht Deutschland als Schwerpunkt für künftige Investitionen heraus und liegt vor dem Vereinigten Königreich und Frankreich.</w:t>
      </w:r>
    </w:p>
    <w:p w14:paraId="2BBFCAC9" w14:textId="389BBE30" w:rsidR="0008751D" w:rsidRPr="000E3D12" w:rsidRDefault="00C87D6B" w:rsidP="2EAC6EF2">
      <w:pPr>
        <w:spacing w:after="150" w:line="288" w:lineRule="auto"/>
        <w:rPr>
          <w:rFonts w:ascii="DeutscheBank" w:hAnsi="DeutscheBank"/>
          <w:sz w:val="20"/>
          <w:szCs w:val="20"/>
        </w:rPr>
      </w:pPr>
      <w:r w:rsidRPr="000E3D12">
        <w:rPr>
          <w:rFonts w:ascii="DeutscheBank" w:hAnsi="DeutscheBank"/>
          <w:sz w:val="20"/>
          <w:szCs w:val="20"/>
        </w:rPr>
        <w:t xml:space="preserve">Dabei steht Deutschland nicht in Konkurrenz zur übergeordneten europäischen Erfolgsgeschichte, sondern untermauert </w:t>
      </w:r>
      <w:r w:rsidR="7A213379" w:rsidRPr="7E94D558">
        <w:rPr>
          <w:rFonts w:ascii="DeutscheBank" w:hAnsi="DeutscheBank"/>
          <w:sz w:val="20"/>
          <w:szCs w:val="20"/>
        </w:rPr>
        <w:t>sie</w:t>
      </w:r>
      <w:r w:rsidRPr="000E3D12">
        <w:rPr>
          <w:rFonts w:ascii="DeutscheBank" w:hAnsi="DeutscheBank"/>
          <w:sz w:val="20"/>
          <w:szCs w:val="20"/>
        </w:rPr>
        <w:t>: Die starke Position des Landes verdeutlicht, wo Investoren die größten Chancen innerhalb eines insgesamt attraktiven Europas sehen</w:t>
      </w:r>
      <w:r w:rsidR="0008751D" w:rsidRPr="000E3D12">
        <w:rPr>
          <w:rFonts w:ascii="DeutscheBank" w:hAnsi="DeutscheBank"/>
          <w:sz w:val="20"/>
          <w:szCs w:val="20"/>
        </w:rPr>
        <w:t>.</w:t>
      </w:r>
    </w:p>
    <w:p w14:paraId="77D34E44" w14:textId="77777777" w:rsidR="0008751D" w:rsidRPr="00C87D6B" w:rsidRDefault="0008751D" w:rsidP="0008751D">
      <w:pPr>
        <w:spacing w:after="150" w:line="288" w:lineRule="auto"/>
        <w:jc w:val="both"/>
        <w:rPr>
          <w:rFonts w:ascii="DeutscheBank" w:hAnsi="DeutscheBank"/>
        </w:rPr>
      </w:pPr>
    </w:p>
    <w:p w14:paraId="64522435" w14:textId="77777777" w:rsidR="0074507B" w:rsidRPr="00C90D62" w:rsidRDefault="0074507B" w:rsidP="0074507B">
      <w:pPr>
        <w:spacing w:before="40" w:after="90"/>
        <w:jc w:val="both"/>
        <w:rPr>
          <w:rFonts w:ascii="DeutscheBank" w:hAnsi="DeutscheBank"/>
          <w:lang w:val="en-US"/>
        </w:rPr>
      </w:pPr>
      <w:r w:rsidRPr="00C90D62">
        <w:rPr>
          <w:rFonts w:ascii="DeutscheBank" w:hAnsi="DeutscheBank"/>
          <w:b/>
          <w:caps/>
          <w:color w:val="5A6472"/>
          <w:sz w:val="18"/>
          <w:szCs w:val="18"/>
          <w:lang w:val="en-US"/>
        </w:rPr>
        <w:t>A</w:t>
      </w:r>
      <w:r>
        <w:rPr>
          <w:rFonts w:ascii="DeutscheBank" w:hAnsi="DeutscheBank"/>
          <w:b/>
          <w:caps/>
          <w:color w:val="5A6472"/>
          <w:sz w:val="18"/>
          <w:szCs w:val="18"/>
          <w:lang w:val="en-US"/>
        </w:rPr>
        <w:t>UF EINEN BLICK</w:t>
      </w:r>
    </w:p>
    <w:tbl>
      <w:tblPr>
        <w:tblW w:w="8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69"/>
        <w:gridCol w:w="3119"/>
        <w:gridCol w:w="2835"/>
      </w:tblGrid>
      <w:tr w:rsidR="00E35699" w:rsidRPr="009A1DAA" w14:paraId="405E1ECC" w14:textId="77777777" w:rsidTr="00DC5D5D">
        <w:trPr>
          <w:trHeight w:val="1061"/>
        </w:trPr>
        <w:tc>
          <w:tcPr>
            <w:tcW w:w="29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2CC9D221" w14:textId="77777777" w:rsidR="00E35699" w:rsidRPr="000E3D12" w:rsidRDefault="00E35699" w:rsidP="009C2716">
            <w:pPr>
              <w:spacing w:after="40"/>
              <w:jc w:val="both"/>
              <w:rPr>
                <w:rFonts w:ascii="DeutscheBank" w:hAnsi="DeutscheBank"/>
              </w:rPr>
            </w:pPr>
            <w:r w:rsidRPr="000E3D12">
              <w:rPr>
                <w:rFonts w:ascii="DeutscheBank" w:hAnsi="DeutscheBank"/>
                <w:b/>
                <w:bCs/>
                <w:color w:val="0069B1"/>
                <w:sz w:val="30"/>
                <w:szCs w:val="30"/>
              </w:rPr>
              <w:t>56%</w:t>
            </w:r>
          </w:p>
          <w:p w14:paraId="558EFF93" w14:textId="4DC8CEB5" w:rsidR="00E35699" w:rsidRPr="003162E1" w:rsidRDefault="00E35699" w:rsidP="003162E1">
            <w:pPr>
              <w:rPr>
                <w:rFonts w:ascii="DeutscheBank" w:hAnsi="DeutscheBank"/>
              </w:rPr>
            </w:pPr>
            <w:r w:rsidRPr="003162E1">
              <w:rPr>
                <w:rFonts w:ascii="DeutscheBank" w:hAnsi="DeutscheBank"/>
                <w:color w:val="5A6472"/>
                <w:sz w:val="16"/>
                <w:szCs w:val="16"/>
              </w:rPr>
              <w:t>zählen Deutschland zu einem ihrer drei wichtigsten Zielmärkte in Europa.</w:t>
            </w:r>
          </w:p>
        </w:tc>
        <w:tc>
          <w:tcPr>
            <w:tcW w:w="311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9EF8999" w14:textId="77777777" w:rsidR="00E35699" w:rsidRPr="000E3D12" w:rsidRDefault="00E35699" w:rsidP="009C2716">
            <w:pPr>
              <w:spacing w:after="40"/>
              <w:jc w:val="both"/>
              <w:rPr>
                <w:rFonts w:ascii="DeutscheBank" w:hAnsi="DeutscheBank"/>
              </w:rPr>
            </w:pPr>
            <w:r w:rsidRPr="000E3D12">
              <w:rPr>
                <w:rFonts w:ascii="DeutscheBank" w:hAnsi="DeutscheBank"/>
                <w:b/>
                <w:bCs/>
                <w:color w:val="0069B1"/>
                <w:sz w:val="30"/>
                <w:szCs w:val="30"/>
              </w:rPr>
              <w:t>29%</w:t>
            </w:r>
          </w:p>
          <w:p w14:paraId="257E96FD" w14:textId="4A8B3E96" w:rsidR="00E35699" w:rsidRPr="00F43912" w:rsidRDefault="00E35699" w:rsidP="00F43912">
            <w:pPr>
              <w:rPr>
                <w:rFonts w:ascii="DeutscheBank" w:hAnsi="DeutscheBank"/>
              </w:rPr>
            </w:pPr>
            <w:r w:rsidRPr="00F43912">
              <w:rPr>
                <w:rFonts w:ascii="DeutscheBank" w:hAnsi="DeutscheBank"/>
                <w:color w:val="5A6472"/>
                <w:sz w:val="16"/>
                <w:szCs w:val="16"/>
              </w:rPr>
              <w:t>nennen Deutschland als ihre erste Wahl für künftige Investitionen</w:t>
            </w:r>
          </w:p>
        </w:tc>
        <w:tc>
          <w:tcPr>
            <w:tcW w:w="28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04732AAD" w14:textId="77777777" w:rsidR="00E35699" w:rsidRPr="000E3D12" w:rsidRDefault="00E35699" w:rsidP="009C2716">
            <w:pPr>
              <w:spacing w:after="40"/>
              <w:jc w:val="both"/>
              <w:rPr>
                <w:rFonts w:ascii="DeutscheBank" w:hAnsi="DeutscheBank"/>
              </w:rPr>
            </w:pPr>
            <w:r w:rsidRPr="000E3D12">
              <w:rPr>
                <w:rFonts w:ascii="DeutscheBank" w:hAnsi="DeutscheBank"/>
                <w:b/>
                <w:bCs/>
                <w:color w:val="0069B1"/>
                <w:sz w:val="30"/>
                <w:szCs w:val="30"/>
              </w:rPr>
              <w:t>3</w:t>
            </w:r>
          </w:p>
          <w:p w14:paraId="5138DC41" w14:textId="3B6E2561" w:rsidR="00E35699" w:rsidRPr="00910DE4" w:rsidRDefault="00E35699" w:rsidP="00910DE4">
            <w:pPr>
              <w:rPr>
                <w:rFonts w:ascii="DeutscheBank" w:hAnsi="DeutscheBank"/>
              </w:rPr>
            </w:pPr>
            <w:r w:rsidRPr="00910DE4">
              <w:rPr>
                <w:rFonts w:ascii="DeutscheBank" w:hAnsi="DeutscheBank"/>
                <w:color w:val="5A6472"/>
                <w:sz w:val="16"/>
                <w:szCs w:val="16"/>
              </w:rPr>
              <w:t>führende Märkte: Deutschland, das Vereinigte Königreich und Frankreich</w:t>
            </w:r>
          </w:p>
        </w:tc>
      </w:tr>
    </w:tbl>
    <w:p w14:paraId="75D05491" w14:textId="77777777" w:rsidR="0008751D" w:rsidRPr="000E3D12" w:rsidRDefault="0008751D" w:rsidP="0008751D">
      <w:pPr>
        <w:spacing w:after="80"/>
        <w:jc w:val="both"/>
        <w:rPr>
          <w:rFonts w:ascii="DeutscheBank" w:hAnsi="DeutscheBank"/>
        </w:rPr>
      </w:pPr>
    </w:p>
    <w:p w14:paraId="5449446C" w14:textId="26389AC6" w:rsidR="0008751D" w:rsidRPr="000E0D66" w:rsidRDefault="000E0D66" w:rsidP="00AA76E2">
      <w:pPr>
        <w:pStyle w:val="Heading2"/>
        <w:rPr>
          <w:rFonts w:ascii="DeutscheBank" w:hAnsi="DeutscheBank"/>
          <w:color w:val="000000" w:themeColor="text1"/>
          <w:sz w:val="20"/>
          <w:szCs w:val="20"/>
        </w:rPr>
      </w:pPr>
      <w:r w:rsidRPr="000E0D66">
        <w:rPr>
          <w:rFonts w:ascii="DeutscheBank" w:hAnsi="DeutscheBank"/>
          <w:color w:val="000000" w:themeColor="text1"/>
          <w:sz w:val="20"/>
          <w:szCs w:val="20"/>
        </w:rPr>
        <w:t>Das wichtigste Ziel für geplante Investitionen</w:t>
      </w:r>
    </w:p>
    <w:p w14:paraId="4732065B" w14:textId="5765F210" w:rsidR="003F0280" w:rsidRPr="003F0280" w:rsidRDefault="003F0280" w:rsidP="003F0280">
      <w:pPr>
        <w:spacing w:after="150" w:line="288" w:lineRule="auto"/>
        <w:rPr>
          <w:rFonts w:ascii="DeutscheBank" w:hAnsi="DeutscheBank"/>
          <w:sz w:val="20"/>
          <w:szCs w:val="20"/>
        </w:rPr>
      </w:pPr>
      <w:r w:rsidRPr="003F0280">
        <w:rPr>
          <w:rFonts w:ascii="DeutscheBank" w:hAnsi="DeutscheBank"/>
          <w:sz w:val="20"/>
          <w:szCs w:val="20"/>
        </w:rPr>
        <w:t>Deutschland ist der zentrale Anker in Europa</w:t>
      </w:r>
      <w:r w:rsidR="63ECC3D9" w:rsidRPr="7E94D558">
        <w:rPr>
          <w:rFonts w:ascii="DeutscheBank" w:hAnsi="DeutscheBank"/>
          <w:sz w:val="20"/>
          <w:szCs w:val="20"/>
        </w:rPr>
        <w:t>:</w:t>
      </w:r>
      <w:r w:rsidRPr="003F0280">
        <w:rPr>
          <w:rFonts w:ascii="DeutscheBank" w:hAnsi="DeutscheBank"/>
          <w:sz w:val="20"/>
          <w:szCs w:val="20"/>
        </w:rPr>
        <w:t xml:space="preserve"> Unter den Unternehmen mit konkreten Investitionsplänen zählen 56 Prozent Deutschland zu einem ihrer drei wichtigsten Zielmärkte. Damit liegt Deutschland vor dem Vereinigten Königreich (47 Prozent) und Frankreich (35 Prozent). Auch als erste Wahl wird Deutschland am häufigsten genannt (29 Prozent), gefolgt vom Vereinigten Königreich (23 Prozent) und Frankreich (9 Prozent).</w:t>
      </w:r>
    </w:p>
    <w:p w14:paraId="312150CF" w14:textId="048B5E8E" w:rsidR="00B00DF0" w:rsidRPr="000E3D12" w:rsidRDefault="003F0280" w:rsidP="4F730A6E">
      <w:pPr>
        <w:spacing w:after="150" w:line="288" w:lineRule="auto"/>
        <w:rPr>
          <w:rFonts w:ascii="DeutscheBank" w:hAnsi="DeutscheBank"/>
          <w:sz w:val="20"/>
          <w:szCs w:val="20"/>
        </w:rPr>
      </w:pPr>
      <w:r w:rsidRPr="4F730A6E">
        <w:rPr>
          <w:rFonts w:ascii="DeutscheBank" w:hAnsi="DeutscheBank"/>
          <w:sz w:val="20"/>
          <w:szCs w:val="20"/>
        </w:rPr>
        <w:t xml:space="preserve">Hinter diesem Spitzentrio zeichnet sich eine klare zweite Gruppe ab. Die Niederlande, Italien und Spanien erreichen jeweils einen Top-3-Anteil von rund 20 bis 22 Prozent, gefolgt von der Schweiz, Polen und Portugal. </w:t>
      </w:r>
      <w:r w:rsidR="113D1376" w:rsidRPr="7E94D558">
        <w:rPr>
          <w:rFonts w:ascii="DeutscheBank" w:hAnsi="DeutscheBank"/>
          <w:sz w:val="20"/>
          <w:szCs w:val="20"/>
        </w:rPr>
        <w:t>Investoren sehen auf</w:t>
      </w:r>
      <w:r w:rsidRPr="7E94D558">
        <w:rPr>
          <w:rFonts w:ascii="DeutscheBank" w:hAnsi="DeutscheBank"/>
          <w:sz w:val="20"/>
          <w:szCs w:val="20"/>
        </w:rPr>
        <w:t xml:space="preserve"> de</w:t>
      </w:r>
      <w:r w:rsidR="2FDC82CC" w:rsidRPr="7E94D558">
        <w:rPr>
          <w:rFonts w:ascii="DeutscheBank" w:hAnsi="DeutscheBank"/>
          <w:sz w:val="20"/>
          <w:szCs w:val="20"/>
        </w:rPr>
        <w:t>m</w:t>
      </w:r>
      <w:r w:rsidRPr="7E94D558">
        <w:rPr>
          <w:rFonts w:ascii="DeutscheBank" w:hAnsi="DeutscheBank"/>
          <w:sz w:val="20"/>
          <w:szCs w:val="20"/>
        </w:rPr>
        <w:t xml:space="preserve"> </w:t>
      </w:r>
      <w:r w:rsidRPr="4F730A6E">
        <w:rPr>
          <w:rFonts w:ascii="DeutscheBank" w:hAnsi="DeutscheBank"/>
          <w:sz w:val="20"/>
          <w:szCs w:val="20"/>
        </w:rPr>
        <w:t>gesamten Kontinent</w:t>
      </w:r>
      <w:r w:rsidR="21AC6E30" w:rsidRPr="7E94D558">
        <w:rPr>
          <w:rFonts w:ascii="DeutscheBank" w:hAnsi="DeutscheBank"/>
          <w:sz w:val="20"/>
          <w:szCs w:val="20"/>
        </w:rPr>
        <w:t xml:space="preserve"> </w:t>
      </w:r>
      <w:r w:rsidR="32E4EB63" w:rsidRPr="7E94D558">
        <w:rPr>
          <w:rFonts w:ascii="DeutscheBank" w:hAnsi="DeutscheBank"/>
          <w:sz w:val="20"/>
          <w:szCs w:val="20"/>
        </w:rPr>
        <w:t xml:space="preserve">Chancen </w:t>
      </w:r>
      <w:r w:rsidR="21AC6E30" w:rsidRPr="7E94D558">
        <w:rPr>
          <w:rFonts w:ascii="DeutscheBank" w:hAnsi="DeutscheBank"/>
          <w:sz w:val="20"/>
          <w:szCs w:val="20"/>
        </w:rPr>
        <w:t xml:space="preserve">– mit den </w:t>
      </w:r>
      <w:r w:rsidR="434A3EE4" w:rsidRPr="7E94D558">
        <w:rPr>
          <w:rFonts w:ascii="DeutscheBank" w:hAnsi="DeutscheBank"/>
          <w:sz w:val="20"/>
          <w:szCs w:val="20"/>
        </w:rPr>
        <w:t>drei größten Volkswirtschaften im Zentrum</w:t>
      </w:r>
      <w:r w:rsidR="00B00DF0" w:rsidRPr="4F730A6E">
        <w:rPr>
          <w:rFonts w:ascii="DeutscheBank" w:hAnsi="DeutscheBank"/>
          <w:sz w:val="20"/>
          <w:szCs w:val="20"/>
        </w:rPr>
        <w:t>.</w:t>
      </w:r>
    </w:p>
    <w:p w14:paraId="795DEB8A" w14:textId="232205D8" w:rsidR="00BD36F4" w:rsidRDefault="00BD36F4">
      <w:pPr>
        <w:spacing w:after="160" w:line="24" w:lineRule="auto"/>
        <w:rPr>
          <w:rFonts w:ascii="DeutscheBank" w:hAnsi="DeutscheBank"/>
          <w:sz w:val="20"/>
          <w:szCs w:val="20"/>
        </w:rPr>
      </w:pPr>
      <w:r>
        <w:rPr>
          <w:rFonts w:ascii="DeutscheBank" w:hAnsi="DeutscheBank"/>
          <w:sz w:val="20"/>
          <w:szCs w:val="20"/>
        </w:rPr>
        <w:br w:type="page"/>
      </w:r>
    </w:p>
    <w:p w14:paraId="7683D6E3" w14:textId="127DEBBD" w:rsidR="0008751D" w:rsidRPr="004A6F88" w:rsidRDefault="003F0280" w:rsidP="0008751D">
      <w:pPr>
        <w:pStyle w:val="Caption"/>
        <w:rPr>
          <w:rFonts w:ascii="DeutscheBank" w:eastAsia="Arial" w:hAnsi="DeutscheBank" w:cs="Arial"/>
          <w:bCs/>
          <w:iCs w:val="0"/>
          <w:szCs w:val="20"/>
          <w:lang w:val="de-DE" w:eastAsia="de-DE"/>
          <w14:ligatures w14:val="none"/>
        </w:rPr>
      </w:pPr>
      <w:r w:rsidRPr="004A6F88">
        <w:rPr>
          <w:rFonts w:ascii="DeutscheBank" w:eastAsia="Arial" w:hAnsi="DeutscheBank" w:cs="Arial"/>
          <w:bCs/>
          <w:iCs w:val="0"/>
          <w:szCs w:val="20"/>
          <w:lang w:val="de-DE" w:eastAsia="de-DE"/>
          <w14:ligatures w14:val="none"/>
        </w:rPr>
        <w:lastRenderedPageBreak/>
        <w:t>Abbildung</w:t>
      </w:r>
      <w:r w:rsidR="0008751D" w:rsidRPr="004A6F88">
        <w:rPr>
          <w:rFonts w:ascii="DeutscheBank" w:eastAsia="Arial" w:hAnsi="DeutscheBank" w:cs="Arial"/>
          <w:bCs/>
          <w:iCs w:val="0"/>
          <w:szCs w:val="20"/>
          <w:lang w:val="de-DE" w:eastAsia="de-DE"/>
          <w14:ligatures w14:val="none"/>
        </w:rPr>
        <w:t xml:space="preserve"> 12: </w:t>
      </w:r>
      <w:r w:rsidR="004A6F88" w:rsidRPr="004A6F88">
        <w:rPr>
          <w:rFonts w:ascii="DeutscheBank" w:eastAsia="Arial" w:hAnsi="DeutscheBank" w:cs="Arial"/>
          <w:bCs/>
          <w:iCs w:val="0"/>
          <w:szCs w:val="20"/>
          <w:lang w:val="de-DE" w:eastAsia="de-DE"/>
          <w14:ligatures w14:val="none"/>
        </w:rPr>
        <w:t xml:space="preserve">Geplante Investitionsländer </w:t>
      </w:r>
    </w:p>
    <w:p w14:paraId="3AD7BCE6" w14:textId="0363105E" w:rsidR="0008751D" w:rsidRPr="004A6F88" w:rsidRDefault="004A6F88" w:rsidP="0008751D">
      <w:pPr>
        <w:pStyle w:val="Copy"/>
        <w:rPr>
          <w:rFonts w:ascii="DeutscheBank" w:hAnsi="DeutscheBank"/>
          <w:lang w:val="de-DE"/>
        </w:rPr>
      </w:pPr>
      <w:r w:rsidRPr="7E94D558">
        <w:rPr>
          <w:rFonts w:ascii="DeutscheBank" w:hAnsi="DeutscheBank"/>
          <w:lang w:val="de-DE"/>
        </w:rPr>
        <w:t xml:space="preserve">Anteil der Befragten, die ein Land unter ihren drei wichtigsten Zielmärkten </w:t>
      </w:r>
      <w:r w:rsidR="485B2C10" w:rsidRPr="7E94D558">
        <w:rPr>
          <w:rFonts w:ascii="DeutscheBank" w:hAnsi="DeutscheBank"/>
          <w:lang w:val="de-DE"/>
        </w:rPr>
        <w:t xml:space="preserve">bzw. </w:t>
      </w:r>
      <w:r w:rsidRPr="7E94D558">
        <w:rPr>
          <w:rFonts w:ascii="DeutscheBank" w:hAnsi="DeutscheBank"/>
          <w:lang w:val="de-DE"/>
        </w:rPr>
        <w:t>als erste Wahl nennen</w:t>
      </w:r>
      <w:r w:rsidR="0041517B">
        <w:rPr>
          <w:rFonts w:ascii="DeutscheBank" w:hAnsi="DeutscheBank"/>
          <w:lang w:val="de-DE"/>
        </w:rPr>
        <w:t xml:space="preserve"> (alle Befragten)</w:t>
      </w:r>
    </w:p>
    <w:p w14:paraId="395DD1A2" w14:textId="585AC283" w:rsidR="00264431" w:rsidRPr="00264431" w:rsidRDefault="00264431" w:rsidP="00264431">
      <w:pPr>
        <w:keepNext/>
        <w:spacing w:before="140" w:after="40"/>
        <w:jc w:val="center"/>
        <w:rPr>
          <w:rFonts w:ascii="DeutscheBank" w:hAnsi="DeutscheBank"/>
        </w:rPr>
      </w:pPr>
      <w:r>
        <w:rPr>
          <w:noProof/>
        </w:rPr>
        <w:drawing>
          <wp:inline distT="0" distB="0" distL="0" distR="0" wp14:anchorId="5C977484" wp14:editId="3E05E502">
            <wp:extent cx="4540195" cy="3082848"/>
            <wp:effectExtent l="0" t="0" r="6985" b="0"/>
            <wp:docPr id="40893247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40195" cy="3082848"/>
                    </a:xfrm>
                    <a:prstGeom prst="rect">
                      <a:avLst/>
                    </a:prstGeom>
                    <a:noFill/>
                    <a:ln>
                      <a:noFill/>
                    </a:ln>
                  </pic:spPr>
                </pic:pic>
              </a:graphicData>
            </a:graphic>
          </wp:inline>
        </w:drawing>
      </w:r>
    </w:p>
    <w:p w14:paraId="60608501" w14:textId="5F3FF9FC" w:rsidR="005F7E32" w:rsidRPr="005F7E32" w:rsidRDefault="005F7E32" w:rsidP="008769C8">
      <w:pPr>
        <w:keepNext/>
        <w:spacing w:before="140" w:after="40"/>
        <w:jc w:val="center"/>
        <w:rPr>
          <w:rFonts w:ascii="DeutscheBank" w:hAnsi="DeutscheBank"/>
        </w:rPr>
      </w:pPr>
    </w:p>
    <w:p w14:paraId="0978A782" w14:textId="77777777" w:rsidR="004A6F88" w:rsidRPr="005F7E32" w:rsidRDefault="004A6F88" w:rsidP="004A6F88">
      <w:pPr>
        <w:keepNext/>
        <w:spacing w:before="140" w:after="40"/>
        <w:rPr>
          <w:rFonts w:ascii="DeutscheBank" w:hAnsi="DeutscheBank"/>
          <w:lang w:val="en-US"/>
        </w:rPr>
      </w:pPr>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5F7E32">
        <w:rPr>
          <w:rFonts w:ascii="DeutscheBank" w:hAnsi="DeutscheBank"/>
          <w:color w:val="000000" w:themeColor="text1"/>
          <w:sz w:val="16"/>
          <w:szCs w:val="16"/>
          <w:lang w:val="en-US"/>
        </w:rPr>
        <w:t>Basis</w:t>
      </w:r>
      <w:r w:rsidRPr="005F7E32">
        <w:rPr>
          <w:rFonts w:ascii="DeutscheBank" w:hAnsi="DeutscheBank"/>
          <w:b/>
          <w:bCs/>
          <w:color w:val="000000" w:themeColor="text1"/>
          <w:sz w:val="16"/>
          <w:szCs w:val="16"/>
          <w:lang w:val="en-US"/>
        </w:rPr>
        <w:t>:</w:t>
      </w:r>
      <w:r w:rsidRPr="005F7E32">
        <w:rPr>
          <w:rFonts w:ascii="DeutscheBank" w:hAnsi="DeutscheBank"/>
          <w:color w:val="000000" w:themeColor="text1"/>
          <w:sz w:val="16"/>
          <w:szCs w:val="16"/>
          <w:lang w:val="en-US"/>
        </w:rPr>
        <w:t xml:space="preserve"> n = 1,200</w:t>
      </w:r>
    </w:p>
    <w:p w14:paraId="4D412273" w14:textId="77777777" w:rsidR="00EE4D13" w:rsidRPr="001E5405" w:rsidRDefault="00EE4D13" w:rsidP="0008751D">
      <w:pPr>
        <w:spacing w:after="180"/>
        <w:jc w:val="both"/>
        <w:rPr>
          <w:rFonts w:ascii="DeutscheBank" w:hAnsi="DeutscheBank"/>
          <w:lang w:val="en-GB"/>
        </w:rPr>
      </w:pPr>
    </w:p>
    <w:p w14:paraId="6203551C" w14:textId="25BD895A" w:rsidR="0008751D" w:rsidRPr="00054201" w:rsidRDefault="0D74128E" w:rsidP="00AA76E2">
      <w:pPr>
        <w:pStyle w:val="Heading2"/>
        <w:rPr>
          <w:rFonts w:ascii="DeutscheBank" w:hAnsi="DeutscheBank"/>
          <w:color w:val="000000" w:themeColor="text1"/>
          <w:sz w:val="20"/>
          <w:szCs w:val="20"/>
        </w:rPr>
      </w:pPr>
      <w:r w:rsidRPr="660B31FE">
        <w:rPr>
          <w:rFonts w:ascii="DeutscheBank" w:hAnsi="DeutscheBank"/>
          <w:color w:val="000000" w:themeColor="text1"/>
          <w:sz w:val="20"/>
          <w:szCs w:val="20"/>
        </w:rPr>
        <w:t xml:space="preserve">Deutschlands </w:t>
      </w:r>
      <w:r w:rsidR="00054201" w:rsidRPr="660B31FE">
        <w:rPr>
          <w:rFonts w:ascii="DeutscheBank" w:hAnsi="DeutscheBank"/>
          <w:color w:val="000000" w:themeColor="text1"/>
          <w:sz w:val="20"/>
          <w:szCs w:val="20"/>
        </w:rPr>
        <w:t>Stärke liegt in seiner Vielfalt</w:t>
      </w:r>
    </w:p>
    <w:p w14:paraId="0FD8789F" w14:textId="4F5201A0" w:rsidR="00F029FE" w:rsidRPr="00F029FE" w:rsidRDefault="00F029FE" w:rsidP="00F029FE">
      <w:pPr>
        <w:spacing w:after="150" w:line="288" w:lineRule="auto"/>
        <w:rPr>
          <w:rFonts w:ascii="DeutscheBank" w:hAnsi="DeutscheBank"/>
          <w:sz w:val="20"/>
          <w:szCs w:val="20"/>
        </w:rPr>
      </w:pPr>
      <w:r w:rsidRPr="00F029FE">
        <w:rPr>
          <w:rFonts w:ascii="DeutscheBank" w:hAnsi="DeutscheBank"/>
          <w:sz w:val="20"/>
          <w:szCs w:val="20"/>
        </w:rPr>
        <w:t xml:space="preserve">Deutschlands Vorteil beruht nicht auf einer einzelnen herausragenden </w:t>
      </w:r>
      <w:r w:rsidR="567E4AD0" w:rsidRPr="7E94D558">
        <w:rPr>
          <w:rFonts w:ascii="DeutscheBank" w:hAnsi="DeutscheBank"/>
          <w:sz w:val="20"/>
          <w:szCs w:val="20"/>
        </w:rPr>
        <w:t>Eigenschaft</w:t>
      </w:r>
      <w:r w:rsidRPr="00F029FE">
        <w:rPr>
          <w:rFonts w:ascii="DeutscheBank" w:hAnsi="DeutscheBank"/>
          <w:sz w:val="20"/>
          <w:szCs w:val="20"/>
        </w:rPr>
        <w:t xml:space="preserve">, sondern auf der Breite seiner Stärken. Vor allem steht das Land für eine solide strukturelle Basis: Deutschland erzielt die höchsten Werte bei Infrastruktur und Logistik (59 Prozent), Innovation und </w:t>
      </w:r>
      <w:r w:rsidR="78EB7B6B" w:rsidRPr="7E94D558">
        <w:rPr>
          <w:rFonts w:ascii="DeutscheBank" w:hAnsi="DeutscheBank"/>
          <w:sz w:val="20"/>
          <w:szCs w:val="20"/>
        </w:rPr>
        <w:t>k</w:t>
      </w:r>
      <w:r w:rsidRPr="00F029FE">
        <w:rPr>
          <w:rFonts w:ascii="DeutscheBank" w:hAnsi="DeutscheBank"/>
          <w:sz w:val="20"/>
          <w:szCs w:val="20"/>
        </w:rPr>
        <w:t xml:space="preserve">ünstlicher Intelligenz (58 Prozent) sowie industrieller Stärke und Fachkräften (jeweils 56 Prozent). Gleichzeitig </w:t>
      </w:r>
      <w:r w:rsidR="160B2FEB" w:rsidRPr="49A42CE3">
        <w:rPr>
          <w:rFonts w:ascii="DeutscheBank" w:hAnsi="DeutscheBank"/>
          <w:sz w:val="20"/>
          <w:szCs w:val="20"/>
        </w:rPr>
        <w:t>liegen auch alle</w:t>
      </w:r>
      <w:r w:rsidR="160B2FEB" w:rsidRPr="2CCAC7AC">
        <w:rPr>
          <w:rFonts w:ascii="DeutscheBank" w:hAnsi="DeutscheBank"/>
          <w:sz w:val="20"/>
          <w:szCs w:val="20"/>
        </w:rPr>
        <w:t xml:space="preserve"> anderen </w:t>
      </w:r>
      <w:r w:rsidR="160B2FEB" w:rsidRPr="070A5C0E">
        <w:rPr>
          <w:rFonts w:ascii="DeutscheBank" w:hAnsi="DeutscheBank"/>
          <w:sz w:val="20"/>
          <w:szCs w:val="20"/>
        </w:rPr>
        <w:t>Wert</w:t>
      </w:r>
      <w:r w:rsidR="24D8AB63" w:rsidRPr="070A5C0E">
        <w:rPr>
          <w:rFonts w:ascii="DeutscheBank" w:hAnsi="DeutscheBank"/>
          <w:sz w:val="20"/>
          <w:szCs w:val="20"/>
        </w:rPr>
        <w:t>e</w:t>
      </w:r>
      <w:r w:rsidR="160B2FEB" w:rsidRPr="49A42CE3">
        <w:rPr>
          <w:rFonts w:ascii="DeutscheBank" w:hAnsi="DeutscheBank"/>
          <w:sz w:val="20"/>
          <w:szCs w:val="20"/>
        </w:rPr>
        <w:t xml:space="preserve"> </w:t>
      </w:r>
      <w:r w:rsidRPr="00F029FE">
        <w:rPr>
          <w:rFonts w:ascii="DeutscheBank" w:hAnsi="DeutscheBank"/>
          <w:sz w:val="20"/>
          <w:szCs w:val="20"/>
        </w:rPr>
        <w:t xml:space="preserve">zwischen 48 und 59 Prozent. </w:t>
      </w:r>
    </w:p>
    <w:p w14:paraId="564456AF" w14:textId="2CAE676B" w:rsidR="0008751D" w:rsidRPr="001431E1" w:rsidRDefault="00F029FE" w:rsidP="00171CBC">
      <w:pPr>
        <w:pStyle w:val="Caption"/>
        <w:rPr>
          <w:bCs/>
          <w:lang w:val="de-DE" w:eastAsia="de-DE"/>
        </w:rPr>
      </w:pPr>
      <w:r w:rsidRPr="070A5C0E">
        <w:rPr>
          <w:rFonts w:ascii="DeutscheBank" w:eastAsia="Arial" w:hAnsi="DeutscheBank" w:cs="Arial"/>
          <w:lang w:val="de-DE" w:eastAsia="de-DE"/>
          <w14:ligatures w14:val="none"/>
        </w:rPr>
        <w:t>Abbildung</w:t>
      </w:r>
      <w:r w:rsidR="0008751D" w:rsidRPr="070A5C0E">
        <w:rPr>
          <w:rFonts w:ascii="DeutscheBank" w:eastAsia="Arial" w:hAnsi="DeutscheBank" w:cs="Arial"/>
          <w:lang w:val="de-DE" w:eastAsia="de-DE"/>
          <w14:ligatures w14:val="none"/>
        </w:rPr>
        <w:t xml:space="preserve"> 13: </w:t>
      </w:r>
      <w:r w:rsidR="00493A15" w:rsidRPr="070A5C0E">
        <w:rPr>
          <w:rFonts w:ascii="DeutscheBank" w:eastAsia="Arial" w:hAnsi="DeutscheBank" w:cs="Arial"/>
          <w:lang w:val="de-DE" w:eastAsia="de-DE"/>
          <w14:ligatures w14:val="none"/>
        </w:rPr>
        <w:t>Stärkenprofil der drei führenden Investitionsziele nach Faktoren</w:t>
      </w:r>
      <w:r w:rsidR="00493A15" w:rsidRPr="00171CBC">
        <w:rPr>
          <w:bCs/>
          <w:lang w:val="de-DE" w:eastAsia="de-DE"/>
        </w:rPr>
        <w:t xml:space="preserve"> </w:t>
      </w:r>
      <w:r w:rsidR="001431E1">
        <w:rPr>
          <w:bCs/>
          <w:lang w:val="de-DE" w:eastAsia="de-DE"/>
        </w:rPr>
        <w:t xml:space="preserve">            </w:t>
      </w:r>
      <w:r w:rsidR="00493A15" w:rsidRPr="00212B80">
        <w:rPr>
          <w:b w:val="0"/>
          <w:lang w:val="de-DE" w:eastAsia="de-DE"/>
        </w:rPr>
        <w:t>Deutschland, Vereinigtes Königreich und Frankreich</w:t>
      </w:r>
      <w:r w:rsidR="00C779BD">
        <w:rPr>
          <w:b w:val="0"/>
          <w:lang w:val="de-DE" w:eastAsia="de-DE"/>
        </w:rPr>
        <w:t xml:space="preserve"> (</w:t>
      </w:r>
      <w:r w:rsidR="244762D4" w:rsidRPr="00212B80">
        <w:rPr>
          <w:b w:val="0"/>
          <w:lang w:val="de-DE" w:eastAsia="de-DE"/>
        </w:rPr>
        <w:t>alle Befragten</w:t>
      </w:r>
      <w:r w:rsidR="00C779BD">
        <w:rPr>
          <w:b w:val="0"/>
          <w:lang w:val="de-DE" w:eastAsia="de-DE"/>
        </w:rPr>
        <w:t>)</w:t>
      </w:r>
      <w:r w:rsidR="0076651F" w:rsidRPr="00212B80">
        <w:rPr>
          <w:b w:val="0"/>
          <w:lang w:val="de-DE" w:eastAsia="de-DE"/>
        </w:rPr>
        <w:t xml:space="preserve"> </w:t>
      </w:r>
    </w:p>
    <w:p w14:paraId="5927C27C" w14:textId="218D4892" w:rsidR="00AB0A0D" w:rsidRPr="00AB0A0D" w:rsidRDefault="00AB0A0D" w:rsidP="00AB0A0D">
      <w:pPr>
        <w:keepNext/>
        <w:spacing w:before="140" w:after="40"/>
        <w:jc w:val="center"/>
        <w:rPr>
          <w:rFonts w:ascii="DeutscheBank" w:hAnsi="DeutscheBank"/>
        </w:rPr>
      </w:pPr>
      <w:r>
        <w:rPr>
          <w:noProof/>
        </w:rPr>
        <w:drawing>
          <wp:inline distT="0" distB="0" distL="0" distR="0" wp14:anchorId="0BBC7D83" wp14:editId="67B53253">
            <wp:extent cx="5760720" cy="1049655"/>
            <wp:effectExtent l="0" t="0" r="0" b="0"/>
            <wp:docPr id="41238661" name="Grafik 32" descr="Horizontales Balkendiagramm vergleicht Deutschland, Vereinigtes Königreich und Frankreich anhand fünf wirtschaftlicher Standortfaktoren. Deutschland führt bei Infrastruktur/Logistik mit 59 % sowie Innovation/KI mit 58 %, während Frankreich meist 39 % erreicht und bei Wachstum/Skalierung mit 42 % abschnei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38661" name="Grafik 32" descr="Horizontales Balkendiagramm vergleicht Deutschland, Vereinigtes Königreich und Frankreich anhand fünf wirtschaftlicher Standortfaktoren. Deutschland führt bei Infrastruktur/Logistik mit 59 % sowie Innovation/KI mit 58 %, während Frankreich meist 39 % erreicht und bei Wachstum/Skalierung mit 42 % abschneide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1049655"/>
                    </a:xfrm>
                    <a:prstGeom prst="rect">
                      <a:avLst/>
                    </a:prstGeom>
                    <a:noFill/>
                    <a:ln>
                      <a:noFill/>
                    </a:ln>
                  </pic:spPr>
                </pic:pic>
              </a:graphicData>
            </a:graphic>
          </wp:inline>
        </w:drawing>
      </w:r>
    </w:p>
    <w:p w14:paraId="16BE6CD7" w14:textId="357B14F6" w:rsidR="0008751D" w:rsidRPr="001E5405" w:rsidRDefault="0008751D" w:rsidP="00AB0A0D">
      <w:pPr>
        <w:keepNext/>
        <w:spacing w:before="140" w:after="40"/>
        <w:rPr>
          <w:rFonts w:ascii="DeutscheBank" w:hAnsi="DeutscheBank"/>
        </w:rPr>
      </w:pPr>
    </w:p>
    <w:p w14:paraId="226231D9" w14:textId="2A83EB33" w:rsidR="0008751D" w:rsidRPr="001E5405" w:rsidRDefault="0076651F" w:rsidP="0008751D">
      <w:pPr>
        <w:spacing w:after="180"/>
        <w:jc w:val="both"/>
        <w:rPr>
          <w:rFonts w:ascii="DeutscheBank" w:hAnsi="DeutscheBank"/>
          <w:lang w:val="en-GB"/>
        </w:rPr>
      </w:pPr>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AB0A0D">
        <w:rPr>
          <w:rFonts w:ascii="DeutscheBank" w:hAnsi="DeutscheBank"/>
          <w:color w:val="000000" w:themeColor="text1"/>
          <w:sz w:val="16"/>
          <w:szCs w:val="16"/>
          <w:lang w:val="en-US"/>
        </w:rPr>
        <w:t>Basis</w:t>
      </w:r>
      <w:r w:rsidRPr="00AB0A0D">
        <w:rPr>
          <w:rFonts w:ascii="DeutscheBank" w:hAnsi="DeutscheBank"/>
          <w:b/>
          <w:bCs/>
          <w:color w:val="000000" w:themeColor="text1"/>
          <w:sz w:val="16"/>
          <w:szCs w:val="16"/>
          <w:lang w:val="en-US"/>
        </w:rPr>
        <w:t>:</w:t>
      </w:r>
      <w:r w:rsidRPr="00AB0A0D">
        <w:rPr>
          <w:rFonts w:ascii="DeutscheBank" w:hAnsi="DeutscheBank"/>
          <w:color w:val="000000" w:themeColor="text1"/>
          <w:sz w:val="16"/>
          <w:szCs w:val="16"/>
          <w:lang w:val="en-US"/>
        </w:rPr>
        <w:t xml:space="preserve"> n = 1,200</w:t>
      </w:r>
    </w:p>
    <w:p w14:paraId="60C17D00" w14:textId="77777777" w:rsidR="0008751D" w:rsidRPr="005D04E4" w:rsidRDefault="0008751D" w:rsidP="0008751D">
      <w:pPr>
        <w:spacing w:after="80"/>
        <w:jc w:val="both"/>
        <w:rPr>
          <w:rFonts w:ascii="DeutscheBank" w:hAnsi="DeutscheBank"/>
        </w:rPr>
      </w:pPr>
    </w:p>
    <w:p w14:paraId="2F38398E" w14:textId="583BFC88" w:rsidR="00D34525" w:rsidRDefault="00D34525" w:rsidP="00D34525">
      <w:pPr>
        <w:spacing w:after="180"/>
        <w:jc w:val="both"/>
        <w:rPr>
          <w:rFonts w:ascii="DeutscheBank" w:hAnsi="DeutscheBank"/>
          <w:color w:val="000000" w:themeColor="text1"/>
          <w:sz w:val="16"/>
          <w:szCs w:val="16"/>
          <w:lang w:val="en-US"/>
        </w:rPr>
      </w:pPr>
    </w:p>
    <w:p w14:paraId="316D30BF" w14:textId="77777777" w:rsidR="0008751D" w:rsidRPr="001E5405" w:rsidRDefault="0008751D" w:rsidP="0008751D">
      <w:pPr>
        <w:spacing w:after="80"/>
        <w:jc w:val="both"/>
        <w:rPr>
          <w:rFonts w:ascii="DeutscheBank" w:hAnsi="DeutscheBank"/>
          <w:lang w:val="en-GB"/>
        </w:rPr>
      </w:pPr>
    </w:p>
    <w:p w14:paraId="44F3E6E7" w14:textId="0EAC687D" w:rsidR="0008751D" w:rsidRPr="00212B80" w:rsidRDefault="00904D48" w:rsidP="00212B80">
      <w:pPr>
        <w:pStyle w:val="Heading1"/>
        <w:pageBreakBefore/>
        <w:ind w:left="432"/>
        <w:rPr>
          <w:rFonts w:ascii="DeutscheBank" w:hAnsi="DeutscheBank"/>
          <w:sz w:val="28"/>
          <w:szCs w:val="28"/>
        </w:rPr>
      </w:pPr>
      <w:bookmarkStart w:id="14" w:name="_Toc240632250"/>
      <w:r>
        <w:rPr>
          <w:rFonts w:ascii="DeutscheBank" w:hAnsi="DeutscheBank"/>
          <w:sz w:val="28"/>
          <w:szCs w:val="28"/>
        </w:rPr>
        <w:lastRenderedPageBreak/>
        <w:t>Z</w:t>
      </w:r>
      <w:r w:rsidR="00BE327A" w:rsidRPr="00B127B9">
        <w:rPr>
          <w:rFonts w:ascii="DeutscheBank" w:hAnsi="DeutscheBank"/>
          <w:sz w:val="28"/>
          <w:szCs w:val="28"/>
        </w:rPr>
        <w:t>entrale</w:t>
      </w:r>
      <w:r w:rsidR="00BE327A">
        <w:rPr>
          <w:rFonts w:ascii="DeutscheBank" w:hAnsi="DeutscheBank"/>
          <w:sz w:val="28"/>
          <w:szCs w:val="28"/>
        </w:rPr>
        <w:t xml:space="preserve"> Handlungsfelder für Europa</w:t>
      </w:r>
      <w:bookmarkEnd w:id="14"/>
      <w:r w:rsidR="00BE327A">
        <w:rPr>
          <w:rFonts w:ascii="DeutscheBank" w:hAnsi="DeutscheBank"/>
          <w:sz w:val="28"/>
          <w:szCs w:val="28"/>
        </w:rPr>
        <w:t xml:space="preserve"> </w:t>
      </w:r>
    </w:p>
    <w:p w14:paraId="50F2F2CF" w14:textId="4DE827CA" w:rsidR="00BD36F4" w:rsidRDefault="00BB2B1A" w:rsidP="003C753A">
      <w:pPr>
        <w:spacing w:after="150" w:line="288" w:lineRule="auto"/>
        <w:rPr>
          <w:rFonts w:ascii="DeutscheBank" w:hAnsi="DeutscheBank"/>
          <w:sz w:val="20"/>
          <w:szCs w:val="20"/>
        </w:rPr>
      </w:pPr>
      <w:r w:rsidRPr="00BB2B1A">
        <w:rPr>
          <w:rFonts w:ascii="DeutscheBank" w:hAnsi="DeutscheBank"/>
          <w:sz w:val="20"/>
          <w:szCs w:val="20"/>
        </w:rPr>
        <w:t>Vier Faktoren liegen</w:t>
      </w:r>
      <w:r w:rsidRPr="070A5C0E">
        <w:rPr>
          <w:rFonts w:ascii="DeutscheBank" w:hAnsi="DeutscheBank"/>
          <w:sz w:val="20"/>
          <w:szCs w:val="20"/>
        </w:rPr>
        <w:t xml:space="preserve"> </w:t>
      </w:r>
      <w:r w:rsidRPr="00BB2B1A">
        <w:rPr>
          <w:rFonts w:ascii="DeutscheBank" w:hAnsi="DeutscheBank"/>
          <w:sz w:val="20"/>
          <w:szCs w:val="20"/>
        </w:rPr>
        <w:t xml:space="preserve">unter der 50-Prozent-Marke </w:t>
      </w:r>
      <w:r w:rsidR="219E8563" w:rsidRPr="372B0CDE">
        <w:rPr>
          <w:rFonts w:ascii="DeutscheBank" w:hAnsi="DeutscheBank"/>
          <w:sz w:val="20"/>
          <w:szCs w:val="20"/>
        </w:rPr>
        <w:t xml:space="preserve">für einen klaren oder mittleren Vorteil Europas </w:t>
      </w:r>
      <w:r w:rsidRPr="00BB2B1A">
        <w:rPr>
          <w:rFonts w:ascii="DeutscheBank" w:hAnsi="DeutscheBank"/>
          <w:sz w:val="20"/>
          <w:szCs w:val="20"/>
        </w:rPr>
        <w:t xml:space="preserve">und definieren damit die wichtigsten Handlungsfelder: </w:t>
      </w:r>
      <w:r w:rsidR="5811D276" w:rsidRPr="7E94D558">
        <w:rPr>
          <w:rFonts w:ascii="DeutscheBank" w:hAnsi="DeutscheBank"/>
          <w:sz w:val="20"/>
          <w:szCs w:val="20"/>
        </w:rPr>
        <w:t>wettbewerbsfähige</w:t>
      </w:r>
      <w:r w:rsidRPr="00BB2B1A">
        <w:rPr>
          <w:rFonts w:ascii="DeutscheBank" w:hAnsi="DeutscheBank"/>
          <w:sz w:val="20"/>
          <w:szCs w:val="20"/>
        </w:rPr>
        <w:t xml:space="preserve"> Arbeitskosten (42 Prozent), das Steuer- und Anreizsystem (44 Prozent), </w:t>
      </w:r>
      <w:r w:rsidR="2E1B0ED7" w:rsidRPr="693775F6">
        <w:rPr>
          <w:rFonts w:ascii="DeutscheBank" w:hAnsi="DeutscheBank"/>
          <w:sz w:val="20"/>
          <w:szCs w:val="20"/>
        </w:rPr>
        <w:t xml:space="preserve">tragfähige </w:t>
      </w:r>
      <w:r w:rsidRPr="00BB2B1A">
        <w:rPr>
          <w:rFonts w:ascii="DeutscheBank" w:hAnsi="DeutscheBank"/>
          <w:sz w:val="20"/>
          <w:szCs w:val="20"/>
        </w:rPr>
        <w:t xml:space="preserve">Energiekosten (47 Prozent) sowie die Dauer von Genehmigungs- und Zulassungsverfahren (47 Prozent). </w:t>
      </w:r>
      <w:r w:rsidRPr="000E3D12">
        <w:rPr>
          <w:rFonts w:ascii="DeutscheBank" w:hAnsi="DeutscheBank"/>
          <w:sz w:val="20"/>
          <w:szCs w:val="20"/>
        </w:rPr>
        <w:t xml:space="preserve">Daraus ergibt sich ein klar </w:t>
      </w:r>
      <w:r w:rsidR="7BCC224E" w:rsidRPr="4ECF8A56">
        <w:rPr>
          <w:rFonts w:ascii="DeutscheBank" w:hAnsi="DeutscheBank"/>
          <w:sz w:val="20"/>
          <w:szCs w:val="20"/>
        </w:rPr>
        <w:t>umrissene</w:t>
      </w:r>
      <w:r w:rsidR="01A0034E" w:rsidRPr="4ECF8A56">
        <w:rPr>
          <w:rFonts w:ascii="DeutscheBank" w:hAnsi="DeutscheBank"/>
          <w:sz w:val="20"/>
          <w:szCs w:val="20"/>
        </w:rPr>
        <w:t xml:space="preserve">r </w:t>
      </w:r>
      <w:r w:rsidR="01A0034E" w:rsidRPr="7829CACA">
        <w:rPr>
          <w:rFonts w:ascii="DeutscheBank" w:hAnsi="DeutscheBank"/>
          <w:sz w:val="20"/>
          <w:szCs w:val="20"/>
        </w:rPr>
        <w:t xml:space="preserve">Handlungsauftrag. </w:t>
      </w:r>
      <w:r w:rsidRPr="000E3D12">
        <w:rPr>
          <w:rFonts w:ascii="DeutscheBank" w:hAnsi="DeutscheBank"/>
          <w:sz w:val="20"/>
          <w:szCs w:val="20"/>
        </w:rPr>
        <w:t>Europas Stabilität schafft eine starke Grundlage für langfristige Investitionen. Sie darf jedoch kein Ersatz für Reformen sein</w:t>
      </w:r>
      <w:r w:rsidR="0008751D" w:rsidRPr="000E3D12">
        <w:rPr>
          <w:rFonts w:ascii="DeutscheBank" w:hAnsi="DeutscheBank"/>
          <w:sz w:val="20"/>
          <w:szCs w:val="20"/>
        </w:rPr>
        <w:t>.</w:t>
      </w:r>
    </w:p>
    <w:p w14:paraId="4D7B5D9A" w14:textId="4A7821C9" w:rsidR="0008751D" w:rsidRPr="002C7F61" w:rsidRDefault="00BB2B1A" w:rsidP="00CF09B2">
      <w:pPr>
        <w:rPr>
          <w:rFonts w:ascii="DeutscheBank" w:hAnsi="DeutscheBank"/>
          <w:szCs w:val="20"/>
        </w:rPr>
      </w:pPr>
      <w:r w:rsidRPr="001A5F67">
        <w:rPr>
          <w:rFonts w:ascii="DeutscheBank" w:hAnsi="DeutscheBank"/>
          <w:b/>
          <w:szCs w:val="20"/>
        </w:rPr>
        <w:t>Abbildung</w:t>
      </w:r>
      <w:r w:rsidR="0008751D" w:rsidRPr="001A5F67">
        <w:rPr>
          <w:rFonts w:ascii="DeutscheBank" w:hAnsi="DeutscheBank"/>
          <w:b/>
          <w:szCs w:val="20"/>
        </w:rPr>
        <w:t xml:space="preserve"> 1</w:t>
      </w:r>
      <w:r w:rsidR="00EB3A85">
        <w:rPr>
          <w:rFonts w:ascii="DeutscheBank" w:hAnsi="DeutscheBank"/>
          <w:b/>
          <w:szCs w:val="20"/>
        </w:rPr>
        <w:t>4</w:t>
      </w:r>
      <w:r w:rsidR="0008751D" w:rsidRPr="001A5F67">
        <w:rPr>
          <w:rFonts w:ascii="DeutscheBank" w:hAnsi="DeutscheBank"/>
          <w:b/>
          <w:szCs w:val="20"/>
        </w:rPr>
        <w:t>:</w:t>
      </w:r>
      <w:r w:rsidR="0008751D" w:rsidRPr="001A5F67">
        <w:rPr>
          <w:rFonts w:ascii="DeutscheBank" w:hAnsi="DeutscheBank"/>
          <w:bCs/>
          <w:szCs w:val="20"/>
        </w:rPr>
        <w:t xml:space="preserve"> </w:t>
      </w:r>
      <w:r w:rsidR="001A5F67" w:rsidRPr="001A5F67">
        <w:rPr>
          <w:rFonts w:ascii="DeutscheBank" w:hAnsi="DeutscheBank"/>
          <w:bCs/>
          <w:szCs w:val="20"/>
        </w:rPr>
        <w:t xml:space="preserve">Vier Handlungsfelder, in denen Europa seine Wettbewerbsfähigkeit steigern </w:t>
      </w:r>
      <w:proofErr w:type="gramStart"/>
      <w:r w:rsidR="001A5F67" w:rsidRPr="001A5F67">
        <w:rPr>
          <w:rFonts w:ascii="DeutscheBank" w:hAnsi="DeutscheBank"/>
          <w:bCs/>
          <w:szCs w:val="20"/>
        </w:rPr>
        <w:t>kann</w:t>
      </w:r>
      <w:r w:rsidR="00CF09B2">
        <w:rPr>
          <w:rFonts w:ascii="DeutscheBank" w:hAnsi="DeutscheBank"/>
          <w:bCs/>
          <w:szCs w:val="20"/>
        </w:rPr>
        <w:t xml:space="preserve"> </w:t>
      </w:r>
      <w:r w:rsidR="0008751D" w:rsidRPr="002C7F61">
        <w:rPr>
          <w:rFonts w:ascii="DeutscheBank" w:hAnsi="DeutscheBank"/>
          <w:szCs w:val="20"/>
        </w:rPr>
        <w:t xml:space="preserve"> (</w:t>
      </w:r>
      <w:proofErr w:type="gramEnd"/>
      <w:r w:rsidR="00677EA7" w:rsidRPr="002C7F61">
        <w:rPr>
          <w:rFonts w:ascii="DeutscheBank" w:hAnsi="DeutscheBank"/>
          <w:szCs w:val="20"/>
        </w:rPr>
        <w:t xml:space="preserve">alle </w:t>
      </w:r>
      <w:r w:rsidR="001A5F67" w:rsidRPr="002C7F61">
        <w:rPr>
          <w:rFonts w:ascii="DeutscheBank" w:hAnsi="DeutscheBank"/>
          <w:szCs w:val="20"/>
        </w:rPr>
        <w:t>Befragten</w:t>
      </w:r>
      <w:r w:rsidR="0008751D" w:rsidRPr="002C7F61">
        <w:rPr>
          <w:rFonts w:ascii="DeutscheBank" w:hAnsi="DeutscheBank"/>
          <w:szCs w:val="20"/>
        </w:rPr>
        <w:t>)</w:t>
      </w:r>
    </w:p>
    <w:p w14:paraId="3920A872" w14:textId="6C704C30" w:rsidR="002C7F61" w:rsidRPr="002C7F61" w:rsidRDefault="002C7F61" w:rsidP="002C7F61">
      <w:pPr>
        <w:keepNext/>
        <w:spacing w:before="140" w:after="40"/>
        <w:jc w:val="center"/>
        <w:rPr>
          <w:rFonts w:ascii="DeutscheBank" w:hAnsi="DeutscheBank"/>
        </w:rPr>
      </w:pPr>
      <w:r w:rsidRPr="002C7F61">
        <w:rPr>
          <w:rFonts w:ascii="DeutscheBank" w:hAnsi="DeutscheBank"/>
          <w:noProof/>
        </w:rPr>
        <w:drawing>
          <wp:inline distT="0" distB="0" distL="0" distR="0" wp14:anchorId="467B1EBF" wp14:editId="09558CF4">
            <wp:extent cx="5760720" cy="2859405"/>
            <wp:effectExtent l="0" t="0" r="0" b="0"/>
            <wp:docPr id="1945112022" name="Grafik 18" descr="Horizontales, gestapeltes Balkendiagramm zur Einschätzung europäischer Standortfaktoren: stärkere oder mittlere Vorteile erreichen Arbeitskosten 42%, Steuer- und Anreizumfeld 44%, Energiekosten sowie Genehmigungsverfahren jeweils 47%. Blautöne zeigen Vorteile, Gelb- und Orangetöne Nachteile; eine gestrichelte Linie markiert 50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12022" name="Grafik 18" descr="Horizontales, gestapeltes Balkendiagramm zur Einschätzung europäischer Standortfaktoren: stärkere oder mittlere Vorteile erreichen Arbeitskosten 42%, Steuer- und Anreizumfeld 44%, Energiekosten sowie Genehmigungsverfahren jeweils 47%. Blautöne zeigen Vorteile, Gelb- und Orangetöne Nachteile; eine gestrichelte Linie markiert 50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2859405"/>
                    </a:xfrm>
                    <a:prstGeom prst="rect">
                      <a:avLst/>
                    </a:prstGeom>
                    <a:noFill/>
                    <a:ln>
                      <a:noFill/>
                    </a:ln>
                  </pic:spPr>
                </pic:pic>
              </a:graphicData>
            </a:graphic>
          </wp:inline>
        </w:drawing>
      </w:r>
    </w:p>
    <w:p w14:paraId="10C2AA33" w14:textId="67D48747" w:rsidR="0008751D" w:rsidRPr="001E5405" w:rsidRDefault="0008751D" w:rsidP="00A024DF">
      <w:pPr>
        <w:keepNext/>
        <w:spacing w:before="140" w:after="40"/>
        <w:rPr>
          <w:rFonts w:ascii="DeutscheBank" w:hAnsi="DeutscheBank"/>
        </w:rPr>
      </w:pPr>
    </w:p>
    <w:p w14:paraId="4C148357" w14:textId="77777777" w:rsidR="001A5F67" w:rsidRDefault="001A5F67" w:rsidP="001A5F67">
      <w:pPr>
        <w:spacing w:after="180"/>
        <w:jc w:val="both"/>
        <w:rPr>
          <w:rFonts w:ascii="DeutscheBank" w:hAnsi="DeutscheBank"/>
          <w:color w:val="000000" w:themeColor="text1"/>
          <w:sz w:val="16"/>
          <w:szCs w:val="16"/>
          <w:lang w:val="en-US"/>
        </w:rPr>
      </w:pPr>
      <w:bookmarkStart w:id="15" w:name="_Toc239930543"/>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E6202E">
        <w:rPr>
          <w:rFonts w:ascii="DeutscheBank" w:hAnsi="DeutscheBank"/>
          <w:color w:val="000000" w:themeColor="text1"/>
          <w:sz w:val="16"/>
          <w:szCs w:val="16"/>
          <w:lang w:val="en-US"/>
        </w:rPr>
        <w:t>Basis</w:t>
      </w:r>
      <w:r w:rsidRPr="00E6202E">
        <w:rPr>
          <w:rFonts w:ascii="DeutscheBank" w:hAnsi="DeutscheBank"/>
          <w:b/>
          <w:bCs/>
          <w:color w:val="000000" w:themeColor="text1"/>
          <w:sz w:val="16"/>
          <w:szCs w:val="16"/>
          <w:lang w:val="en-US"/>
        </w:rPr>
        <w:t>:</w:t>
      </w:r>
      <w:r w:rsidRPr="00E6202E">
        <w:rPr>
          <w:rFonts w:ascii="DeutscheBank" w:hAnsi="DeutscheBank"/>
          <w:color w:val="000000" w:themeColor="text1"/>
          <w:sz w:val="16"/>
          <w:szCs w:val="16"/>
          <w:lang w:val="en-US"/>
        </w:rPr>
        <w:t xml:space="preserve"> n = 1,200</w:t>
      </w:r>
    </w:p>
    <w:p w14:paraId="09E97E17" w14:textId="7BFC932C" w:rsidR="003C753A" w:rsidRDefault="003C753A" w:rsidP="003C753A">
      <w:pPr>
        <w:spacing w:after="160" w:line="24" w:lineRule="auto"/>
        <w:rPr>
          <w:rFonts w:ascii="DeutscheBank" w:hAnsi="DeutscheBank"/>
          <w:color w:val="000000" w:themeColor="text1"/>
          <w:sz w:val="16"/>
          <w:szCs w:val="16"/>
          <w:lang w:val="en-US"/>
        </w:rPr>
      </w:pPr>
      <w:r>
        <w:rPr>
          <w:rFonts w:ascii="DeutscheBank" w:hAnsi="DeutscheBank"/>
          <w:color w:val="000000" w:themeColor="text1"/>
          <w:sz w:val="16"/>
          <w:szCs w:val="16"/>
          <w:lang w:val="en-US"/>
        </w:rPr>
        <w:br w:type="page"/>
      </w:r>
    </w:p>
    <w:p w14:paraId="2E69F80F" w14:textId="56920D71" w:rsidR="0008751D" w:rsidRPr="00481D9C" w:rsidRDefault="00481D9C" w:rsidP="00941393">
      <w:pPr>
        <w:pStyle w:val="Heading1"/>
        <w:pageBreakBefore/>
        <w:ind w:left="432"/>
        <w:rPr>
          <w:rFonts w:ascii="DeutscheBank" w:hAnsi="DeutscheBank"/>
          <w:sz w:val="28"/>
          <w:szCs w:val="28"/>
        </w:rPr>
      </w:pPr>
      <w:bookmarkStart w:id="16" w:name="_Toc240632251"/>
      <w:bookmarkEnd w:id="15"/>
      <w:r w:rsidRPr="00481D9C">
        <w:rPr>
          <w:rFonts w:ascii="DeutscheBank" w:hAnsi="DeutscheBank"/>
          <w:sz w:val="28"/>
          <w:szCs w:val="28"/>
        </w:rPr>
        <w:lastRenderedPageBreak/>
        <w:t>Europa hat die Vorteile des Binnenmarkts noch nicht vollständig ausgeschöpft</w:t>
      </w:r>
      <w:bookmarkEnd w:id="16"/>
    </w:p>
    <w:p w14:paraId="729BE29A" w14:textId="3284B754" w:rsidR="006647AC" w:rsidRPr="006647AC" w:rsidRDefault="006647AC" w:rsidP="006647AC">
      <w:pPr>
        <w:spacing w:after="150" w:line="288" w:lineRule="auto"/>
        <w:rPr>
          <w:rFonts w:ascii="DeutscheBank" w:hAnsi="DeutscheBank"/>
          <w:sz w:val="20"/>
          <w:szCs w:val="20"/>
        </w:rPr>
      </w:pPr>
      <w:r w:rsidRPr="006647AC">
        <w:rPr>
          <w:rFonts w:ascii="DeutscheBank" w:hAnsi="DeutscheBank"/>
          <w:sz w:val="20"/>
          <w:szCs w:val="20"/>
        </w:rPr>
        <w:t xml:space="preserve">Investoren schätzen Europa zwar, erleben die Region jedoch noch nicht als einen vollständig integrierten und reibungslos funktionierenden Binnenmarkt. </w:t>
      </w:r>
    </w:p>
    <w:p w14:paraId="325E3376" w14:textId="6C961FE6" w:rsidR="0008751D" w:rsidRPr="000E3D12" w:rsidRDefault="006647AC" w:rsidP="2EAC6EF2">
      <w:pPr>
        <w:spacing w:after="150" w:line="288" w:lineRule="auto"/>
        <w:rPr>
          <w:rFonts w:ascii="DeutscheBank" w:hAnsi="DeutscheBank"/>
          <w:sz w:val="20"/>
          <w:szCs w:val="20"/>
        </w:rPr>
      </w:pPr>
      <w:r w:rsidRPr="237399C7">
        <w:rPr>
          <w:rFonts w:ascii="DeutscheBank" w:hAnsi="DeutscheBank"/>
          <w:sz w:val="20"/>
          <w:szCs w:val="20"/>
        </w:rPr>
        <w:t xml:space="preserve">Dieses Kapitel zeigt, wie stark Europa tatsächlich als einheitlicher Wirtschaftsraum wahrgenommen wird und wie stark Hürden </w:t>
      </w:r>
      <w:r w:rsidR="754E3F8D" w:rsidRPr="237399C7">
        <w:rPr>
          <w:rFonts w:ascii="DeutscheBank" w:hAnsi="DeutscheBank"/>
          <w:sz w:val="20"/>
          <w:szCs w:val="20"/>
        </w:rPr>
        <w:t xml:space="preserve">für grenzüberschreitende Geschäfte </w:t>
      </w:r>
      <w:r w:rsidRPr="237399C7">
        <w:rPr>
          <w:rFonts w:ascii="DeutscheBank" w:hAnsi="DeutscheBank"/>
          <w:sz w:val="20"/>
          <w:szCs w:val="20"/>
        </w:rPr>
        <w:t xml:space="preserve">seine Attraktivität weiterhin beeinträchtigen. </w:t>
      </w:r>
      <w:r w:rsidR="21EFBB29" w:rsidRPr="237399C7">
        <w:rPr>
          <w:rFonts w:ascii="DeutscheBank" w:hAnsi="DeutscheBank"/>
          <w:sz w:val="20"/>
          <w:szCs w:val="20"/>
        </w:rPr>
        <w:t xml:space="preserve">Der Tenor ist eindeutig: </w:t>
      </w:r>
      <w:r w:rsidR="63D711BE" w:rsidRPr="237399C7">
        <w:rPr>
          <w:rFonts w:ascii="DeutscheBank" w:hAnsi="DeutscheBank"/>
          <w:sz w:val="20"/>
          <w:szCs w:val="20"/>
        </w:rPr>
        <w:t>Europas</w:t>
      </w:r>
      <w:r w:rsidRPr="237399C7">
        <w:rPr>
          <w:rFonts w:ascii="DeutscheBank" w:hAnsi="DeutscheBank"/>
          <w:sz w:val="20"/>
          <w:szCs w:val="20"/>
        </w:rPr>
        <w:t xml:space="preserve"> größte Bremse ist Europa selbst</w:t>
      </w:r>
      <w:r w:rsidR="0008751D" w:rsidRPr="237399C7">
        <w:rPr>
          <w:rFonts w:ascii="DeutscheBank" w:hAnsi="DeutscheBank"/>
          <w:sz w:val="20"/>
          <w:szCs w:val="20"/>
        </w:rPr>
        <w:t>.</w:t>
      </w:r>
    </w:p>
    <w:p w14:paraId="62E911CD" w14:textId="77777777" w:rsidR="0008751D" w:rsidRPr="006647AC" w:rsidRDefault="0008751D" w:rsidP="0008751D">
      <w:pPr>
        <w:spacing w:after="150" w:line="288" w:lineRule="auto"/>
        <w:jc w:val="both"/>
        <w:rPr>
          <w:rFonts w:ascii="DeutscheBank" w:hAnsi="DeutscheBank"/>
        </w:rPr>
      </w:pPr>
    </w:p>
    <w:p w14:paraId="7361A181" w14:textId="77777777" w:rsidR="00481D9C" w:rsidRPr="00C90D62" w:rsidRDefault="00481D9C" w:rsidP="00481D9C">
      <w:pPr>
        <w:spacing w:before="40" w:after="90"/>
        <w:jc w:val="both"/>
        <w:rPr>
          <w:rFonts w:ascii="DeutscheBank" w:hAnsi="DeutscheBank"/>
          <w:lang w:val="en-US"/>
        </w:rPr>
      </w:pPr>
      <w:r w:rsidRPr="00C90D62">
        <w:rPr>
          <w:rFonts w:ascii="DeutscheBank" w:hAnsi="DeutscheBank"/>
          <w:b/>
          <w:caps/>
          <w:color w:val="5A6472"/>
          <w:sz w:val="18"/>
          <w:szCs w:val="18"/>
          <w:lang w:val="en-US"/>
        </w:rPr>
        <w:t>A</w:t>
      </w:r>
      <w:r>
        <w:rPr>
          <w:rFonts w:ascii="DeutscheBank" w:hAnsi="DeutscheBank"/>
          <w:b/>
          <w:caps/>
          <w:color w:val="5A6472"/>
          <w:sz w:val="18"/>
          <w:szCs w:val="18"/>
          <w:lang w:val="en-US"/>
        </w:rPr>
        <w:t>UF EINEN BLICK</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1"/>
        <w:gridCol w:w="2903"/>
        <w:gridCol w:w="3088"/>
      </w:tblGrid>
      <w:tr w:rsidR="009B2006" w:rsidRPr="009A1DAA" w14:paraId="283C271F" w14:textId="77777777" w:rsidTr="237399C7">
        <w:trPr>
          <w:trHeight w:val="1147"/>
        </w:trPr>
        <w:tc>
          <w:tcPr>
            <w:tcW w:w="310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02917ED" w14:textId="77777777" w:rsidR="009B2006" w:rsidRPr="00B172BC" w:rsidRDefault="009B2006" w:rsidP="009C2716">
            <w:pPr>
              <w:spacing w:after="40"/>
              <w:jc w:val="both"/>
              <w:rPr>
                <w:rFonts w:ascii="DeutscheBank" w:hAnsi="DeutscheBank"/>
              </w:rPr>
            </w:pPr>
            <w:r w:rsidRPr="00B172BC">
              <w:rPr>
                <w:rFonts w:ascii="DeutscheBank" w:hAnsi="DeutscheBank"/>
                <w:b/>
                <w:bCs/>
                <w:color w:val="0069B1"/>
                <w:sz w:val="30"/>
                <w:szCs w:val="30"/>
              </w:rPr>
              <w:t>62%</w:t>
            </w:r>
          </w:p>
          <w:p w14:paraId="2387B7D1" w14:textId="101478E1" w:rsidR="009B2006" w:rsidRPr="00B172BC" w:rsidRDefault="009B2006" w:rsidP="00B172BC">
            <w:pPr>
              <w:rPr>
                <w:rFonts w:ascii="DeutscheBank" w:hAnsi="DeutscheBank"/>
              </w:rPr>
            </w:pPr>
            <w:r w:rsidRPr="00B172BC">
              <w:rPr>
                <w:rFonts w:ascii="DeutscheBank" w:hAnsi="DeutscheBank"/>
                <w:color w:val="5A6472"/>
                <w:sz w:val="16"/>
                <w:szCs w:val="16"/>
              </w:rPr>
              <w:t>sehen Europa als einen einheitlichen oder weitgehend einheitlichen Markt</w:t>
            </w:r>
          </w:p>
        </w:tc>
        <w:tc>
          <w:tcPr>
            <w:tcW w:w="290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Pr>
          <w:p w14:paraId="16140C48" w14:textId="77777777" w:rsidR="009B2006" w:rsidRPr="001B6451" w:rsidRDefault="009B2006" w:rsidP="0006760F">
            <w:pPr>
              <w:spacing w:after="40"/>
              <w:jc w:val="both"/>
              <w:rPr>
                <w:rFonts w:ascii="DeutscheBank" w:hAnsi="DeutscheBank"/>
              </w:rPr>
            </w:pPr>
            <w:r w:rsidRPr="001B6451">
              <w:rPr>
                <w:rFonts w:ascii="DeutscheBank" w:hAnsi="DeutscheBank"/>
                <w:b/>
                <w:bCs/>
                <w:color w:val="0069B1"/>
                <w:sz w:val="30"/>
                <w:szCs w:val="30"/>
              </w:rPr>
              <w:t>43%</w:t>
            </w:r>
          </w:p>
          <w:p w14:paraId="4A6D7725" w14:textId="04524FBA" w:rsidR="009B2006" w:rsidRPr="001B6451" w:rsidRDefault="33A26BEF" w:rsidP="0006760F">
            <w:pPr>
              <w:spacing w:after="40"/>
              <w:jc w:val="both"/>
              <w:rPr>
                <w:rFonts w:ascii="DeutscheBank" w:hAnsi="DeutscheBank"/>
                <w:b/>
                <w:bCs/>
                <w:color w:val="0069B1"/>
                <w:sz w:val="30"/>
                <w:szCs w:val="30"/>
              </w:rPr>
            </w:pPr>
            <w:r w:rsidRPr="237399C7">
              <w:rPr>
                <w:rFonts w:ascii="DeutscheBank" w:hAnsi="DeutscheBank"/>
                <w:color w:val="5A6472"/>
                <w:sz w:val="16"/>
                <w:szCs w:val="16"/>
              </w:rPr>
              <w:t xml:space="preserve">berichten von großen oder sehr </w:t>
            </w:r>
            <w:proofErr w:type="gramStart"/>
            <w:r w:rsidRPr="237399C7">
              <w:rPr>
                <w:rFonts w:ascii="DeutscheBank" w:hAnsi="DeutscheBank"/>
                <w:color w:val="5A6472"/>
                <w:sz w:val="16"/>
                <w:szCs w:val="16"/>
              </w:rPr>
              <w:t>großen  Hürden</w:t>
            </w:r>
            <w:proofErr w:type="gramEnd"/>
            <w:r w:rsidR="5075E01C" w:rsidRPr="237399C7">
              <w:rPr>
                <w:rFonts w:ascii="DeutscheBank" w:hAnsi="DeutscheBank"/>
                <w:color w:val="5A6472"/>
                <w:sz w:val="16"/>
                <w:szCs w:val="16"/>
              </w:rPr>
              <w:t xml:space="preserve"> für das grenzüberschreitende Geschäft</w:t>
            </w:r>
          </w:p>
        </w:tc>
        <w:tc>
          <w:tcPr>
            <w:tcW w:w="308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28A382CD" w14:textId="77777777" w:rsidR="009B2006" w:rsidRPr="000E3D12" w:rsidRDefault="009B2006" w:rsidP="009C2716">
            <w:pPr>
              <w:spacing w:after="40"/>
              <w:jc w:val="both"/>
              <w:rPr>
                <w:rFonts w:ascii="DeutscheBank" w:hAnsi="DeutscheBank"/>
              </w:rPr>
            </w:pPr>
            <w:r w:rsidRPr="000E3D12">
              <w:rPr>
                <w:rFonts w:ascii="DeutscheBank" w:hAnsi="DeutscheBank"/>
                <w:b/>
                <w:bCs/>
                <w:color w:val="0069B1"/>
                <w:sz w:val="30"/>
                <w:szCs w:val="30"/>
              </w:rPr>
              <w:t>20%</w:t>
            </w:r>
          </w:p>
          <w:p w14:paraId="23DDBCF4" w14:textId="5F01D351" w:rsidR="009B2006" w:rsidRPr="00F0033C" w:rsidRDefault="009B2006" w:rsidP="00212B80">
            <w:pPr>
              <w:rPr>
                <w:rFonts w:ascii="DeutscheBank" w:hAnsi="DeutscheBank"/>
              </w:rPr>
            </w:pPr>
            <w:r w:rsidRPr="00F0033C">
              <w:rPr>
                <w:rFonts w:ascii="DeutscheBank" w:hAnsi="DeutscheBank"/>
                <w:color w:val="5A6472"/>
                <w:sz w:val="16"/>
                <w:szCs w:val="16"/>
              </w:rPr>
              <w:t xml:space="preserve">erleben Europa als vollständig </w:t>
            </w:r>
            <w:r>
              <w:rPr>
                <w:rFonts w:ascii="DeutscheBank" w:hAnsi="DeutscheBank"/>
                <w:color w:val="5A6472"/>
                <w:sz w:val="16"/>
                <w:szCs w:val="16"/>
              </w:rPr>
              <w:t>integrierten Markt</w:t>
            </w:r>
          </w:p>
        </w:tc>
      </w:tr>
    </w:tbl>
    <w:p w14:paraId="26B58649" w14:textId="77777777" w:rsidR="0008751D" w:rsidRPr="00DF6A78" w:rsidRDefault="0008751D" w:rsidP="0008751D">
      <w:pPr>
        <w:spacing w:after="80"/>
        <w:jc w:val="both"/>
        <w:rPr>
          <w:rFonts w:ascii="DeutscheBank" w:hAnsi="DeutscheBank"/>
        </w:rPr>
      </w:pPr>
    </w:p>
    <w:p w14:paraId="1CED76F0" w14:textId="3BACB35C" w:rsidR="0008751D" w:rsidRPr="00753982" w:rsidRDefault="52D9BF8F" w:rsidP="00212B80">
      <w:pPr>
        <w:pStyle w:val="Heading2"/>
        <w:ind w:left="432" w:hanging="432"/>
        <w:rPr>
          <w:rFonts w:ascii="DeutscheBank" w:hAnsi="DeutscheBank"/>
          <w:color w:val="000000" w:themeColor="text1"/>
          <w:sz w:val="20"/>
          <w:szCs w:val="20"/>
        </w:rPr>
      </w:pPr>
      <w:r w:rsidRPr="34A7427A">
        <w:rPr>
          <w:rFonts w:ascii="DeutscheBank" w:hAnsi="DeutscheBank"/>
          <w:color w:val="000000" w:themeColor="text1"/>
          <w:sz w:val="20"/>
          <w:szCs w:val="20"/>
        </w:rPr>
        <w:t xml:space="preserve">Der </w:t>
      </w:r>
      <w:r w:rsidR="00753982" w:rsidRPr="00753982">
        <w:rPr>
          <w:rFonts w:ascii="DeutscheBank" w:hAnsi="DeutscheBank"/>
          <w:color w:val="000000" w:themeColor="text1"/>
          <w:sz w:val="20"/>
          <w:szCs w:val="20"/>
        </w:rPr>
        <w:t>Binnenmarkt</w:t>
      </w:r>
      <w:r w:rsidR="21E493BB" w:rsidRPr="0A8684DE">
        <w:rPr>
          <w:rFonts w:ascii="DeutscheBank" w:hAnsi="DeutscheBank"/>
          <w:color w:val="000000" w:themeColor="text1"/>
          <w:sz w:val="20"/>
          <w:szCs w:val="20"/>
        </w:rPr>
        <w:t xml:space="preserve"> </w:t>
      </w:r>
      <w:r w:rsidR="3F101A36" w:rsidRPr="05292A41">
        <w:rPr>
          <w:rFonts w:ascii="DeutscheBank" w:hAnsi="DeutscheBank"/>
          <w:color w:val="000000" w:themeColor="text1"/>
          <w:sz w:val="20"/>
          <w:szCs w:val="20"/>
        </w:rPr>
        <w:t xml:space="preserve">funktioniert </w:t>
      </w:r>
      <w:r w:rsidR="2FA7EB0B" w:rsidRPr="6C51EF65">
        <w:rPr>
          <w:rFonts w:ascii="DeutscheBank" w:hAnsi="DeutscheBank"/>
          <w:color w:val="000000" w:themeColor="text1"/>
          <w:sz w:val="20"/>
          <w:szCs w:val="20"/>
        </w:rPr>
        <w:t>nicht</w:t>
      </w:r>
      <w:r w:rsidR="00753982" w:rsidRPr="00753982">
        <w:rPr>
          <w:rFonts w:ascii="DeutscheBank" w:hAnsi="DeutscheBank"/>
          <w:color w:val="000000" w:themeColor="text1"/>
          <w:sz w:val="20"/>
          <w:szCs w:val="20"/>
        </w:rPr>
        <w:t xml:space="preserve"> reibungslos</w:t>
      </w:r>
    </w:p>
    <w:p w14:paraId="530337C6" w14:textId="754A27B9" w:rsidR="00D076FF" w:rsidRPr="00D076FF" w:rsidRDefault="00D076FF" w:rsidP="00D076FF">
      <w:pPr>
        <w:spacing w:after="150" w:line="288" w:lineRule="auto"/>
        <w:rPr>
          <w:rFonts w:ascii="DeutscheBank" w:hAnsi="DeutscheBank"/>
          <w:sz w:val="20"/>
          <w:szCs w:val="20"/>
        </w:rPr>
      </w:pPr>
      <w:r w:rsidRPr="00D076FF">
        <w:rPr>
          <w:rFonts w:ascii="DeutscheBank" w:hAnsi="DeutscheBank"/>
          <w:sz w:val="20"/>
          <w:szCs w:val="20"/>
        </w:rPr>
        <w:t>Die Bewertung der europäischen Integration fällt positiv, aber differenziert aus. Auf einer Vier-Punkte-Skala sehen 20 Prozent der Befragten Europa als vollständig geeint, weitere 42 Prozent als weitgehend geeint</w:t>
      </w:r>
      <w:r w:rsidRPr="10DC586E">
        <w:rPr>
          <w:rFonts w:ascii="DeutscheBank" w:hAnsi="DeutscheBank"/>
          <w:sz w:val="20"/>
          <w:szCs w:val="20"/>
        </w:rPr>
        <w:t>.</w:t>
      </w:r>
      <w:r w:rsidRPr="00D076FF">
        <w:rPr>
          <w:rFonts w:ascii="DeutscheBank" w:hAnsi="DeutscheBank"/>
          <w:sz w:val="20"/>
          <w:szCs w:val="20"/>
        </w:rPr>
        <w:t xml:space="preserve"> Auf der anderen Seite </w:t>
      </w:r>
      <w:r w:rsidR="0111C400" w:rsidRPr="2EF1BEDC">
        <w:rPr>
          <w:rFonts w:ascii="DeutscheBank" w:hAnsi="DeutscheBank"/>
          <w:sz w:val="20"/>
          <w:szCs w:val="20"/>
        </w:rPr>
        <w:t>nehmen</w:t>
      </w:r>
      <w:r w:rsidRPr="00D076FF">
        <w:rPr>
          <w:rFonts w:ascii="DeutscheBank" w:hAnsi="DeutscheBank"/>
          <w:sz w:val="20"/>
          <w:szCs w:val="20"/>
        </w:rPr>
        <w:t xml:space="preserve"> 30 Prozent der Befragten Europa als überwiegend fragmentiert </w:t>
      </w:r>
      <w:r w:rsidR="6E131C8D" w:rsidRPr="2D3E2065">
        <w:rPr>
          <w:rFonts w:ascii="DeutscheBank" w:hAnsi="DeutscheBank"/>
          <w:sz w:val="20"/>
          <w:szCs w:val="20"/>
        </w:rPr>
        <w:t xml:space="preserve">wahr </w:t>
      </w:r>
      <w:r w:rsidRPr="00D076FF">
        <w:rPr>
          <w:rFonts w:ascii="DeutscheBank" w:hAnsi="DeutscheBank"/>
          <w:sz w:val="20"/>
          <w:szCs w:val="20"/>
        </w:rPr>
        <w:t xml:space="preserve">und 8 Prozent als vollständig fragmentiert. Das Versprechen des Binnenmarkts ist klar erkennbar, </w:t>
      </w:r>
      <w:r>
        <w:rPr>
          <w:rFonts w:ascii="DeutscheBank" w:hAnsi="DeutscheBank"/>
          <w:sz w:val="20"/>
          <w:szCs w:val="20"/>
        </w:rPr>
        <w:t>aber noch nicht vollständig umgesetzt</w:t>
      </w:r>
      <w:r w:rsidRPr="00D076FF">
        <w:rPr>
          <w:rFonts w:ascii="DeutscheBank" w:hAnsi="DeutscheBank"/>
          <w:sz w:val="20"/>
          <w:szCs w:val="20"/>
        </w:rPr>
        <w:t>.</w:t>
      </w:r>
    </w:p>
    <w:p w14:paraId="3D7F7EE5" w14:textId="44ED48AD" w:rsidR="00D076FF" w:rsidRPr="00D076FF" w:rsidRDefault="00D076FF" w:rsidP="00D076FF">
      <w:pPr>
        <w:spacing w:after="150" w:line="288" w:lineRule="auto"/>
        <w:rPr>
          <w:rFonts w:ascii="DeutscheBank" w:hAnsi="DeutscheBank"/>
          <w:sz w:val="20"/>
          <w:szCs w:val="20"/>
        </w:rPr>
      </w:pPr>
      <w:r w:rsidRPr="00D076FF">
        <w:rPr>
          <w:rFonts w:ascii="DeutscheBank" w:hAnsi="DeutscheBank"/>
          <w:sz w:val="20"/>
          <w:szCs w:val="20"/>
        </w:rPr>
        <w:t xml:space="preserve">Am stärksten ausgeprägt ist die Wahrnehmung europäischer Geschlossenheit in Amerika: Dort betrachten 69 Prozent der Befragten Europa als vollständig oder weitgehend geeint. </w:t>
      </w:r>
      <w:r w:rsidR="5B5E48CC" w:rsidRPr="774790A3">
        <w:rPr>
          <w:rFonts w:ascii="DeutscheBank" w:hAnsi="DeutscheBank"/>
          <w:sz w:val="20"/>
          <w:szCs w:val="20"/>
        </w:rPr>
        <w:t>I</w:t>
      </w:r>
      <w:r w:rsidR="4C58A75A" w:rsidRPr="774790A3">
        <w:rPr>
          <w:rFonts w:ascii="DeutscheBank" w:hAnsi="DeutscheBank"/>
          <w:sz w:val="20"/>
          <w:szCs w:val="20"/>
        </w:rPr>
        <w:t>m</w:t>
      </w:r>
      <w:r w:rsidR="7849BC6A" w:rsidRPr="7E94D558">
        <w:rPr>
          <w:rFonts w:ascii="DeutscheBank" w:hAnsi="DeutscheBank"/>
          <w:sz w:val="20"/>
          <w:szCs w:val="20"/>
        </w:rPr>
        <w:t xml:space="preserve"> Nahen Osten liegt dieser Wert bei 60 Prozent und in </w:t>
      </w:r>
      <w:r w:rsidRPr="00D076FF">
        <w:rPr>
          <w:rFonts w:ascii="DeutscheBank" w:hAnsi="DeutscheBank"/>
          <w:sz w:val="20"/>
          <w:szCs w:val="20"/>
        </w:rPr>
        <w:t xml:space="preserve">Asien-Pazifik bei 58 Prozent. Keine </w:t>
      </w:r>
      <w:r w:rsidR="4715E369" w:rsidRPr="7E94D558">
        <w:rPr>
          <w:rFonts w:ascii="DeutscheBank" w:hAnsi="DeutscheBank"/>
          <w:sz w:val="20"/>
          <w:szCs w:val="20"/>
        </w:rPr>
        <w:t>R</w:t>
      </w:r>
      <w:r w:rsidRPr="7E94D558">
        <w:rPr>
          <w:rFonts w:ascii="DeutscheBank" w:hAnsi="DeutscheBank"/>
          <w:sz w:val="20"/>
          <w:szCs w:val="20"/>
        </w:rPr>
        <w:t>egion</w:t>
      </w:r>
      <w:r w:rsidRPr="00D076FF">
        <w:rPr>
          <w:rFonts w:ascii="DeutscheBank" w:hAnsi="DeutscheBank"/>
          <w:sz w:val="20"/>
          <w:szCs w:val="20"/>
        </w:rPr>
        <w:t xml:space="preserve"> erlebt Europa frei von Hürden, und dieses Muster zeigt sich unabhängig von Unternehmensgröße und Investitionsstatus.</w:t>
      </w:r>
    </w:p>
    <w:p w14:paraId="478E1D2F" w14:textId="16F31BB7" w:rsidR="0008751D" w:rsidRPr="000E3D12" w:rsidRDefault="00D076FF" w:rsidP="2EAC6EF2">
      <w:pPr>
        <w:spacing w:after="150" w:line="288" w:lineRule="auto"/>
        <w:rPr>
          <w:rFonts w:ascii="DeutscheBank" w:hAnsi="DeutscheBank"/>
          <w:sz w:val="20"/>
          <w:szCs w:val="20"/>
        </w:rPr>
      </w:pPr>
      <w:r w:rsidRPr="000E3D12">
        <w:rPr>
          <w:rFonts w:ascii="DeutscheBank" w:hAnsi="DeutscheBank"/>
          <w:sz w:val="20"/>
          <w:szCs w:val="20"/>
        </w:rPr>
        <w:t>Die Vollendung des Binnenmarkts würde bestehende Potenziale freisetzen, die bislang durch verbleibende Hürden und Grenzen eingeschränkt werden</w:t>
      </w:r>
      <w:r w:rsidR="0008751D" w:rsidRPr="000E3D12">
        <w:rPr>
          <w:rFonts w:ascii="DeutscheBank" w:hAnsi="DeutscheBank"/>
          <w:sz w:val="20"/>
          <w:szCs w:val="20"/>
        </w:rPr>
        <w:t>.</w:t>
      </w:r>
    </w:p>
    <w:p w14:paraId="7CE9F1DD" w14:textId="35F0B05C" w:rsidR="00BD36F4" w:rsidRDefault="00BD36F4">
      <w:pPr>
        <w:spacing w:after="160" w:line="24" w:lineRule="auto"/>
        <w:rPr>
          <w:rFonts w:ascii="DeutscheBank" w:hAnsi="DeutscheBank"/>
          <w:sz w:val="20"/>
          <w:szCs w:val="20"/>
        </w:rPr>
      </w:pPr>
      <w:r>
        <w:rPr>
          <w:rFonts w:ascii="DeutscheBank" w:hAnsi="DeutscheBank"/>
          <w:sz w:val="20"/>
          <w:szCs w:val="20"/>
        </w:rPr>
        <w:br w:type="page"/>
      </w:r>
    </w:p>
    <w:p w14:paraId="3202818C" w14:textId="7D1FC9C9" w:rsidR="0008751D" w:rsidRPr="000B54F7" w:rsidRDefault="00317A48" w:rsidP="0008751D">
      <w:pPr>
        <w:pStyle w:val="Caption"/>
        <w:rPr>
          <w:rFonts w:ascii="DeutscheBank" w:eastAsia="Arial" w:hAnsi="DeutscheBank" w:cs="Arial"/>
          <w:bCs/>
          <w:iCs w:val="0"/>
          <w:szCs w:val="20"/>
          <w:lang w:val="de-DE" w:eastAsia="de-DE"/>
          <w14:ligatures w14:val="none"/>
        </w:rPr>
      </w:pPr>
      <w:r>
        <w:rPr>
          <w:rFonts w:ascii="DeutscheBank" w:eastAsia="Arial" w:hAnsi="DeutscheBank" w:cs="Arial"/>
          <w:bCs/>
          <w:iCs w:val="0"/>
          <w:szCs w:val="20"/>
          <w:lang w:val="de-DE" w:eastAsia="de-DE"/>
          <w14:ligatures w14:val="none"/>
        </w:rPr>
        <w:lastRenderedPageBreak/>
        <w:t>Abbildung</w:t>
      </w:r>
      <w:r w:rsidR="0008751D" w:rsidRPr="000B54F7">
        <w:rPr>
          <w:rFonts w:ascii="DeutscheBank" w:eastAsia="Arial" w:hAnsi="DeutscheBank" w:cs="Arial"/>
          <w:bCs/>
          <w:iCs w:val="0"/>
          <w:szCs w:val="20"/>
          <w:lang w:val="de-DE" w:eastAsia="de-DE"/>
          <w14:ligatures w14:val="none"/>
        </w:rPr>
        <w:t xml:space="preserve"> 1</w:t>
      </w:r>
      <w:r w:rsidR="00EB3A85">
        <w:rPr>
          <w:rFonts w:ascii="DeutscheBank" w:eastAsia="Arial" w:hAnsi="DeutscheBank" w:cs="Arial"/>
          <w:bCs/>
          <w:iCs w:val="0"/>
          <w:szCs w:val="20"/>
          <w:lang w:val="de-DE" w:eastAsia="de-DE"/>
          <w14:ligatures w14:val="none"/>
        </w:rPr>
        <w:t>5</w:t>
      </w:r>
      <w:r w:rsidR="0008751D" w:rsidRPr="000B54F7">
        <w:rPr>
          <w:rFonts w:ascii="DeutscheBank" w:eastAsia="Arial" w:hAnsi="DeutscheBank" w:cs="Arial"/>
          <w:bCs/>
          <w:iCs w:val="0"/>
          <w:szCs w:val="20"/>
          <w:lang w:val="de-DE" w:eastAsia="de-DE"/>
          <w14:ligatures w14:val="none"/>
        </w:rPr>
        <w:t xml:space="preserve">: </w:t>
      </w:r>
      <w:r w:rsidR="000B54F7" w:rsidRPr="000B54F7">
        <w:rPr>
          <w:rFonts w:ascii="DeutscheBank" w:eastAsia="Arial" w:hAnsi="DeutscheBank" w:cs="Arial"/>
          <w:bCs/>
          <w:iCs w:val="0"/>
          <w:szCs w:val="20"/>
          <w:lang w:val="de-DE" w:eastAsia="de-DE"/>
          <w14:ligatures w14:val="none"/>
        </w:rPr>
        <w:t xml:space="preserve">Wahrnehmung Europas als geeinter oder fragmentierter Markt </w:t>
      </w:r>
    </w:p>
    <w:p w14:paraId="253099CC" w14:textId="37B09568" w:rsidR="0008751D" w:rsidRPr="000B54F7" w:rsidRDefault="000B54F7" w:rsidP="0008751D">
      <w:pPr>
        <w:pStyle w:val="Copy"/>
        <w:rPr>
          <w:rFonts w:ascii="DeutscheBank" w:hAnsi="DeutscheBank"/>
          <w:szCs w:val="20"/>
          <w:lang w:val="de-DE"/>
        </w:rPr>
      </w:pPr>
      <w:r w:rsidRPr="000B54F7">
        <w:rPr>
          <w:rFonts w:ascii="DeutscheBank" w:hAnsi="DeutscheBank"/>
          <w:szCs w:val="20"/>
          <w:lang w:val="de-DE"/>
        </w:rPr>
        <w:t xml:space="preserve"> </w:t>
      </w:r>
      <w:r w:rsidR="0008751D" w:rsidRPr="000B54F7">
        <w:rPr>
          <w:rFonts w:ascii="DeutscheBank" w:eastAsia="Arial" w:hAnsi="DeutscheBank" w:cs="Arial"/>
          <w:color w:val="222222"/>
          <w:szCs w:val="20"/>
          <w:lang w:val="de-DE" w:eastAsia="de-DE"/>
          <w14:ligatures w14:val="none"/>
        </w:rPr>
        <w:t>(all</w:t>
      </w:r>
      <w:r w:rsidRPr="000B54F7">
        <w:rPr>
          <w:rFonts w:ascii="DeutscheBank" w:eastAsia="Arial" w:hAnsi="DeutscheBank" w:cs="Arial"/>
          <w:color w:val="222222"/>
          <w:szCs w:val="20"/>
          <w:lang w:val="de-DE" w:eastAsia="de-DE"/>
          <w14:ligatures w14:val="none"/>
        </w:rPr>
        <w:t>e Befragten</w:t>
      </w:r>
      <w:r w:rsidR="0008751D" w:rsidRPr="000B54F7">
        <w:rPr>
          <w:rFonts w:ascii="DeutscheBank" w:eastAsia="Arial" w:hAnsi="DeutscheBank" w:cs="Arial"/>
          <w:color w:val="222222"/>
          <w:szCs w:val="20"/>
          <w:lang w:val="de-DE" w:eastAsia="de-DE"/>
          <w14:ligatures w14:val="none"/>
        </w:rPr>
        <w:t>)</w:t>
      </w:r>
    </w:p>
    <w:p w14:paraId="7ED27A20" w14:textId="2F6B1F0E" w:rsidR="00A024DF" w:rsidRPr="00A024DF" w:rsidRDefault="00A024DF" w:rsidP="00A024DF">
      <w:pPr>
        <w:keepNext/>
        <w:spacing w:before="140" w:after="40"/>
        <w:jc w:val="center"/>
        <w:rPr>
          <w:rFonts w:ascii="DeutscheBank" w:hAnsi="DeutscheBank"/>
        </w:rPr>
      </w:pPr>
      <w:r w:rsidRPr="00A024DF">
        <w:rPr>
          <w:rFonts w:ascii="DeutscheBank" w:hAnsi="DeutscheBank"/>
          <w:noProof/>
        </w:rPr>
        <w:drawing>
          <wp:inline distT="0" distB="0" distL="0" distR="0" wp14:anchorId="7D5346DD" wp14:editId="17BEBB4C">
            <wp:extent cx="3865245" cy="2352721"/>
            <wp:effectExtent l="0" t="0" r="1905" b="9525"/>
            <wp:docPr id="430064819" name="Grafik 40" descr="Kreis-Diagramm zur Verteilung der wahrgenommenen Marktstruktur Europas mit vier Kategorien: Einheitlicher Markt 20%, überwiegend einheitlich 42%, überwiegend fragmentiert 30% und fragmentierte Märkt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64819" name="Grafik 40" descr="Kreis-Diagramm zur Verteilung der wahrgenommenen Marktstruktur Europas mit vier Kategorien: Einheitlicher Markt 20%, überwiegend einheitlich 42%, überwiegend fragmentiert 30% und fragmentierte Märkt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5852" cy="2359177"/>
                    </a:xfrm>
                    <a:prstGeom prst="rect">
                      <a:avLst/>
                    </a:prstGeom>
                    <a:noFill/>
                    <a:ln>
                      <a:noFill/>
                    </a:ln>
                  </pic:spPr>
                </pic:pic>
              </a:graphicData>
            </a:graphic>
          </wp:inline>
        </w:drawing>
      </w:r>
    </w:p>
    <w:p w14:paraId="5488FAF4" w14:textId="3ABB8A36" w:rsidR="0008751D" w:rsidRPr="001E5405" w:rsidRDefault="0008751D" w:rsidP="0008751D">
      <w:pPr>
        <w:keepNext/>
        <w:spacing w:before="140" w:after="40"/>
        <w:jc w:val="center"/>
        <w:rPr>
          <w:rFonts w:ascii="DeutscheBank" w:hAnsi="DeutscheBank"/>
        </w:rPr>
      </w:pPr>
    </w:p>
    <w:p w14:paraId="35432921" w14:textId="77777777" w:rsidR="005500A8" w:rsidRDefault="005500A8" w:rsidP="005500A8">
      <w:pPr>
        <w:spacing w:after="180"/>
        <w:jc w:val="both"/>
        <w:rPr>
          <w:rFonts w:ascii="DeutscheBank" w:hAnsi="DeutscheBank"/>
          <w:color w:val="000000" w:themeColor="text1"/>
          <w:sz w:val="16"/>
          <w:szCs w:val="16"/>
        </w:rPr>
      </w:pPr>
      <w:r w:rsidRPr="00E6707A">
        <w:rPr>
          <w:rFonts w:ascii="DeutscheBank" w:hAnsi="DeutscheBank"/>
          <w:b/>
          <w:color w:val="000000" w:themeColor="text1"/>
          <w:sz w:val="16"/>
          <w:szCs w:val="16"/>
        </w:rPr>
        <w:t xml:space="preserve">Quelle: </w:t>
      </w:r>
      <w:r w:rsidRPr="00E6707A">
        <w:rPr>
          <w:rFonts w:ascii="DeutscheBank" w:hAnsi="DeutscheBank"/>
          <w:color w:val="000000" w:themeColor="text1"/>
          <w:sz w:val="16"/>
          <w:szCs w:val="16"/>
        </w:rPr>
        <w:t xml:space="preserve">Global Sentiment Survey on Europe 2026, B2B online Studie. </w:t>
      </w:r>
      <w:r w:rsidRPr="008E7BB9">
        <w:rPr>
          <w:rFonts w:ascii="DeutscheBank" w:hAnsi="DeutscheBank"/>
          <w:color w:val="000000" w:themeColor="text1"/>
          <w:sz w:val="16"/>
          <w:szCs w:val="16"/>
        </w:rPr>
        <w:t>Basis</w:t>
      </w:r>
      <w:r w:rsidRPr="008E7BB9">
        <w:rPr>
          <w:rFonts w:ascii="DeutscheBank" w:hAnsi="DeutscheBank"/>
          <w:b/>
          <w:bCs/>
          <w:color w:val="000000" w:themeColor="text1"/>
          <w:sz w:val="16"/>
          <w:szCs w:val="16"/>
        </w:rPr>
        <w:t>:</w:t>
      </w:r>
      <w:r w:rsidRPr="008E7BB9">
        <w:rPr>
          <w:rFonts w:ascii="DeutscheBank" w:hAnsi="DeutscheBank"/>
          <w:color w:val="000000" w:themeColor="text1"/>
          <w:sz w:val="16"/>
          <w:szCs w:val="16"/>
        </w:rPr>
        <w:t xml:space="preserve"> n = 1,200</w:t>
      </w:r>
    </w:p>
    <w:p w14:paraId="3A12E241" w14:textId="77777777" w:rsidR="00BD36F4" w:rsidRPr="008E7BB9" w:rsidRDefault="00BD36F4" w:rsidP="005500A8">
      <w:pPr>
        <w:spacing w:after="180"/>
        <w:jc w:val="both"/>
        <w:rPr>
          <w:rFonts w:ascii="DeutscheBank" w:hAnsi="DeutscheBank"/>
          <w:color w:val="000000" w:themeColor="text1"/>
          <w:sz w:val="16"/>
          <w:szCs w:val="16"/>
        </w:rPr>
      </w:pPr>
    </w:p>
    <w:p w14:paraId="2A080820" w14:textId="39C22CE4" w:rsidR="0008751D" w:rsidRPr="00BD36F4" w:rsidRDefault="008E7BB9" w:rsidP="00BD36F4">
      <w:pPr>
        <w:rPr>
          <w:rFonts w:ascii="DeutscheBank" w:hAnsi="DeutscheBank"/>
          <w:b/>
          <w:color w:val="000000" w:themeColor="text1"/>
          <w:sz w:val="20"/>
          <w:szCs w:val="20"/>
        </w:rPr>
      </w:pPr>
      <w:r w:rsidRPr="7E94D558">
        <w:rPr>
          <w:rFonts w:ascii="DeutscheBank" w:hAnsi="DeutscheBank"/>
          <w:b/>
        </w:rPr>
        <w:t>Abbildung</w:t>
      </w:r>
      <w:r w:rsidR="0008751D" w:rsidRPr="7E94D558">
        <w:rPr>
          <w:rFonts w:ascii="DeutscheBank" w:hAnsi="DeutscheBank"/>
          <w:b/>
        </w:rPr>
        <w:t xml:space="preserve"> 1</w:t>
      </w:r>
      <w:r w:rsidR="00EB3A85">
        <w:rPr>
          <w:rFonts w:ascii="DeutscheBank" w:hAnsi="DeutscheBank"/>
          <w:b/>
        </w:rPr>
        <w:t>6</w:t>
      </w:r>
      <w:r w:rsidR="0008751D" w:rsidRPr="7E94D558">
        <w:rPr>
          <w:rFonts w:ascii="DeutscheBank" w:hAnsi="DeutscheBank"/>
          <w:b/>
        </w:rPr>
        <w:t xml:space="preserve">: </w:t>
      </w:r>
      <w:r w:rsidR="29307D0F" w:rsidRPr="7E94D558">
        <w:rPr>
          <w:rFonts w:ascii="DeutscheBank" w:hAnsi="DeutscheBank"/>
        </w:rPr>
        <w:t xml:space="preserve"> </w:t>
      </w:r>
      <w:r w:rsidR="29307D0F" w:rsidRPr="00E273DC">
        <w:rPr>
          <w:rFonts w:ascii="DeutscheBank" w:hAnsi="DeutscheBank"/>
          <w:b/>
        </w:rPr>
        <w:t>Wahrnehmung Europas als geeinter oder fragmentierter Mark</w:t>
      </w:r>
      <w:r w:rsidR="29307D0F" w:rsidRPr="7E94D558">
        <w:rPr>
          <w:rFonts w:ascii="DeutscheBank" w:hAnsi="DeutscheBank"/>
          <w:b/>
          <w:bCs/>
        </w:rPr>
        <w:t>t</w:t>
      </w:r>
    </w:p>
    <w:p w14:paraId="112C8C91" w14:textId="6D19E568" w:rsidR="0008751D" w:rsidRPr="008E7BB9" w:rsidRDefault="000021C0" w:rsidP="0008751D">
      <w:pPr>
        <w:pStyle w:val="Copy"/>
        <w:rPr>
          <w:rFonts w:ascii="DeutscheBank" w:hAnsi="DeutscheBank"/>
          <w:lang w:val="de-DE"/>
        </w:rPr>
      </w:pPr>
      <w:r>
        <w:rPr>
          <w:rFonts w:ascii="DeutscheBank" w:eastAsia="Arial" w:hAnsi="DeutscheBank" w:cs="Arial"/>
          <w:color w:val="222222"/>
          <w:lang w:val="de-DE" w:eastAsia="de-DE"/>
          <w14:ligatures w14:val="none"/>
        </w:rPr>
        <w:t xml:space="preserve">Nach Region </w:t>
      </w:r>
      <w:r w:rsidR="0008751D" w:rsidRPr="7E94D558">
        <w:rPr>
          <w:rFonts w:ascii="DeutscheBank" w:eastAsia="Arial" w:hAnsi="DeutscheBank" w:cs="Arial"/>
          <w:color w:val="222222"/>
          <w:lang w:val="de-DE" w:eastAsia="de-DE"/>
          <w14:ligatures w14:val="none"/>
        </w:rPr>
        <w:t>(all</w:t>
      </w:r>
      <w:r w:rsidR="008E7BB9" w:rsidRPr="7E94D558">
        <w:rPr>
          <w:rFonts w:ascii="DeutscheBank" w:eastAsia="Arial" w:hAnsi="DeutscheBank" w:cs="Arial"/>
          <w:color w:val="222222"/>
          <w:lang w:val="de-DE" w:eastAsia="de-DE"/>
          <w14:ligatures w14:val="none"/>
        </w:rPr>
        <w:t>e Befragten</w:t>
      </w:r>
      <w:r w:rsidR="0008751D" w:rsidRPr="7E94D558">
        <w:rPr>
          <w:rFonts w:ascii="DeutscheBank" w:eastAsia="Arial" w:hAnsi="DeutscheBank" w:cs="Arial"/>
          <w:color w:val="222222"/>
          <w:lang w:val="de-DE" w:eastAsia="de-DE"/>
          <w14:ligatures w14:val="none"/>
        </w:rPr>
        <w:t>)</w:t>
      </w:r>
    </w:p>
    <w:p w14:paraId="2C0D1535" w14:textId="7C5C4C23" w:rsidR="00B02BC0" w:rsidRPr="00B02BC0" w:rsidRDefault="00B02BC0" w:rsidP="00B02BC0">
      <w:pPr>
        <w:keepNext/>
        <w:spacing w:before="140" w:after="40"/>
        <w:jc w:val="center"/>
        <w:rPr>
          <w:rFonts w:ascii="DeutscheBank" w:hAnsi="DeutscheBank"/>
        </w:rPr>
      </w:pPr>
      <w:r w:rsidRPr="00B02BC0">
        <w:rPr>
          <w:rFonts w:ascii="DeutscheBank" w:hAnsi="DeutscheBank"/>
          <w:noProof/>
        </w:rPr>
        <w:drawing>
          <wp:inline distT="0" distB="0" distL="0" distR="0" wp14:anchorId="14B2D7CA" wp14:editId="68EBFB79">
            <wp:extent cx="4684541" cy="2582901"/>
            <wp:effectExtent l="0" t="0" r="1905" b="8255"/>
            <wp:docPr id="1187657606" name="Grafik 20" descr="Gestapeltes Balkendiagramm zeigt Anteile der Wahrnehmung als einheitlicher beziehungsweise überwiegend einheitlicher Märkte nach Region: Gesamt, APAC, Naher Osten und Amerika. Dunkelblau markiert einheitlichen Markt, Hellblau überwiegend einheitlichen Markt; Gesamt erreicht 62 % (20 % + 42 %), APAC 58 % (15 % + 43 %), Naher Osten 60 % (27 % + 33 %) und Amerika 69 % (23 % + 46 %) als höchsten W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57606" name="Grafik 20" descr="Gestapeltes Balkendiagramm zeigt Anteile der Wahrnehmung als einheitlicher beziehungsweise überwiegend einheitlicher Märkte nach Region: Gesamt, APAC, Naher Osten und Amerika. Dunkelblau markiert einheitlichen Markt, Hellblau überwiegend einheitlichen Markt; Gesamt erreicht 62 % (20 % + 42 %), APAC 58 % (15 % + 43 %), Naher Osten 60 % (27 % + 33 %) und Amerika 69 % (23 % + 46 %) als höchsten Wer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01231" cy="2592103"/>
                    </a:xfrm>
                    <a:prstGeom prst="rect">
                      <a:avLst/>
                    </a:prstGeom>
                    <a:noFill/>
                    <a:ln>
                      <a:noFill/>
                    </a:ln>
                  </pic:spPr>
                </pic:pic>
              </a:graphicData>
            </a:graphic>
          </wp:inline>
        </w:drawing>
      </w:r>
    </w:p>
    <w:p w14:paraId="4EAD23F9" w14:textId="5D87AB51" w:rsidR="00717D52" w:rsidRPr="00717D52" w:rsidRDefault="00717D52" w:rsidP="00717D52">
      <w:pPr>
        <w:keepNext/>
        <w:spacing w:before="140" w:after="40"/>
        <w:jc w:val="center"/>
        <w:rPr>
          <w:rFonts w:ascii="DeutscheBank" w:hAnsi="DeutscheBank"/>
        </w:rPr>
      </w:pPr>
    </w:p>
    <w:p w14:paraId="70316798" w14:textId="77777777" w:rsidR="008E7BB9" w:rsidRPr="00717D52" w:rsidRDefault="008E7BB9" w:rsidP="008E7BB9">
      <w:pPr>
        <w:spacing w:after="180"/>
        <w:jc w:val="both"/>
        <w:rPr>
          <w:rFonts w:ascii="DeutscheBank" w:hAnsi="DeutscheBank"/>
          <w:color w:val="000000" w:themeColor="text1"/>
          <w:sz w:val="16"/>
          <w:szCs w:val="16"/>
          <w:lang w:val="en-US"/>
        </w:rPr>
      </w:pPr>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717D52">
        <w:rPr>
          <w:rFonts w:ascii="DeutscheBank" w:hAnsi="DeutscheBank"/>
          <w:color w:val="000000" w:themeColor="text1"/>
          <w:sz w:val="16"/>
          <w:szCs w:val="16"/>
          <w:lang w:val="en-US"/>
        </w:rPr>
        <w:t>Basis</w:t>
      </w:r>
      <w:r w:rsidRPr="00717D52">
        <w:rPr>
          <w:rFonts w:ascii="DeutscheBank" w:hAnsi="DeutscheBank"/>
          <w:b/>
          <w:bCs/>
          <w:color w:val="000000" w:themeColor="text1"/>
          <w:sz w:val="16"/>
          <w:szCs w:val="16"/>
          <w:lang w:val="en-US"/>
        </w:rPr>
        <w:t>:</w:t>
      </w:r>
      <w:r w:rsidRPr="00717D52">
        <w:rPr>
          <w:rFonts w:ascii="DeutscheBank" w:hAnsi="DeutscheBank"/>
          <w:color w:val="000000" w:themeColor="text1"/>
          <w:sz w:val="16"/>
          <w:szCs w:val="16"/>
          <w:lang w:val="en-US"/>
        </w:rPr>
        <w:t xml:space="preserve"> n = 1,200</w:t>
      </w:r>
    </w:p>
    <w:p w14:paraId="00123492" w14:textId="77777777" w:rsidR="0008751D" w:rsidRPr="001E5405" w:rsidRDefault="0008751D" w:rsidP="0008751D">
      <w:pPr>
        <w:spacing w:after="180"/>
        <w:jc w:val="both"/>
        <w:rPr>
          <w:rFonts w:ascii="DeutscheBank" w:hAnsi="DeutscheBank"/>
          <w:lang w:val="en-GB"/>
        </w:rPr>
      </w:pPr>
    </w:p>
    <w:p w14:paraId="5577754B" w14:textId="2CF7F27D" w:rsidR="0008751D" w:rsidRPr="002930B9" w:rsidRDefault="002930B9" w:rsidP="00AA76E2">
      <w:pPr>
        <w:pStyle w:val="Heading2"/>
        <w:rPr>
          <w:rFonts w:ascii="DeutscheBank" w:hAnsi="DeutscheBank"/>
          <w:color w:val="000000" w:themeColor="text1"/>
          <w:sz w:val="20"/>
          <w:szCs w:val="20"/>
        </w:rPr>
      </w:pPr>
      <w:r w:rsidRPr="002930B9">
        <w:rPr>
          <w:rFonts w:ascii="DeutscheBank" w:hAnsi="DeutscheBank"/>
          <w:color w:val="000000" w:themeColor="text1"/>
          <w:sz w:val="20"/>
          <w:szCs w:val="20"/>
        </w:rPr>
        <w:t>Fragmentierung schmälert Europas Attraktivität für Investoren</w:t>
      </w:r>
    </w:p>
    <w:p w14:paraId="0023328F" w14:textId="5D682E15" w:rsidR="00973C4F" w:rsidRPr="00601F6C" w:rsidRDefault="00973C4F" w:rsidP="00973C4F">
      <w:pPr>
        <w:spacing w:after="150" w:line="288" w:lineRule="auto"/>
        <w:rPr>
          <w:rFonts w:ascii="DeutscheBank" w:hAnsi="DeutscheBank"/>
          <w:sz w:val="20"/>
          <w:szCs w:val="20"/>
        </w:rPr>
      </w:pPr>
      <w:r w:rsidRPr="237399C7">
        <w:rPr>
          <w:rFonts w:ascii="DeutscheBank" w:hAnsi="DeutscheBank"/>
          <w:sz w:val="20"/>
          <w:szCs w:val="20"/>
        </w:rPr>
        <w:t xml:space="preserve">Europas Stärken als Investitionsstandort sind klar, doch Reibungsverluste </w:t>
      </w:r>
      <w:r w:rsidR="41D4AA0F" w:rsidRPr="237399C7">
        <w:rPr>
          <w:rFonts w:ascii="DeutscheBank" w:hAnsi="DeutscheBank"/>
          <w:sz w:val="20"/>
          <w:szCs w:val="20"/>
        </w:rPr>
        <w:t xml:space="preserve">bei </w:t>
      </w:r>
      <w:r w:rsidR="002B4DC0" w:rsidRPr="237399C7">
        <w:rPr>
          <w:rFonts w:ascii="DeutscheBank" w:hAnsi="DeutscheBank"/>
          <w:sz w:val="20"/>
          <w:szCs w:val="20"/>
        </w:rPr>
        <w:t>grenzüber</w:t>
      </w:r>
      <w:r w:rsidR="002B4DC0">
        <w:rPr>
          <w:rFonts w:ascii="DeutscheBank" w:hAnsi="DeutscheBank"/>
          <w:sz w:val="20"/>
          <w:szCs w:val="20"/>
        </w:rPr>
        <w:t>schreitend</w:t>
      </w:r>
      <w:r w:rsidR="002B4DC0" w:rsidRPr="237399C7">
        <w:rPr>
          <w:rFonts w:ascii="DeutscheBank" w:hAnsi="DeutscheBank"/>
          <w:sz w:val="20"/>
          <w:szCs w:val="20"/>
        </w:rPr>
        <w:t xml:space="preserve"> </w:t>
      </w:r>
      <w:r w:rsidR="41D4AA0F" w:rsidRPr="237399C7">
        <w:rPr>
          <w:rFonts w:ascii="DeutscheBank" w:hAnsi="DeutscheBank"/>
          <w:sz w:val="20"/>
          <w:szCs w:val="20"/>
        </w:rPr>
        <w:t xml:space="preserve">Geschäften </w:t>
      </w:r>
      <w:r w:rsidRPr="237399C7">
        <w:rPr>
          <w:rFonts w:ascii="DeutscheBank" w:hAnsi="DeutscheBank"/>
          <w:sz w:val="20"/>
          <w:szCs w:val="20"/>
        </w:rPr>
        <w:t>schmälern ihre Wirkung nach wie vor. 43 Prozent der Befragten geben an, dass s</w:t>
      </w:r>
      <w:r w:rsidR="602EFFEA" w:rsidRPr="237399C7">
        <w:rPr>
          <w:rFonts w:ascii="DeutscheBank" w:hAnsi="DeutscheBank"/>
          <w:sz w:val="20"/>
          <w:szCs w:val="20"/>
        </w:rPr>
        <w:t>i</w:t>
      </w:r>
      <w:r w:rsidRPr="237399C7">
        <w:rPr>
          <w:rFonts w:ascii="DeutscheBank" w:hAnsi="DeutscheBank"/>
          <w:sz w:val="20"/>
          <w:szCs w:val="20"/>
        </w:rPr>
        <w:t xml:space="preserve">e die Attraktivität Europas in hohem oder sehr hohem Maße beeinträchtigen, weitere 42 Prozent sehen zumindest einen gewissen Einfluss. Nur etwa 15 Prozent nehmen geringe oder gar keine Auswirkungen wahr. Insgesamt spüren damit rund 85 Prozent zumindest ein gewisses Maß an Reibungsverlusten. </w:t>
      </w:r>
      <w:r w:rsidR="7A091516" w:rsidRPr="237399C7">
        <w:rPr>
          <w:rFonts w:ascii="DeutscheBank" w:hAnsi="DeutscheBank"/>
          <w:sz w:val="20"/>
          <w:szCs w:val="20"/>
        </w:rPr>
        <w:t>Sie sind die</w:t>
      </w:r>
      <w:r w:rsidR="3D1827E6" w:rsidRPr="237399C7">
        <w:rPr>
          <w:rFonts w:ascii="DeutscheBank" w:hAnsi="DeutscheBank"/>
          <w:sz w:val="20"/>
          <w:szCs w:val="20"/>
        </w:rPr>
        <w:t xml:space="preserve"> </w:t>
      </w:r>
      <w:r w:rsidR="6206225E" w:rsidRPr="237399C7">
        <w:rPr>
          <w:rFonts w:ascii="DeutscheBank" w:hAnsi="DeutscheBank"/>
          <w:sz w:val="20"/>
          <w:szCs w:val="20"/>
        </w:rPr>
        <w:t xml:space="preserve">wichtigste </w:t>
      </w:r>
      <w:r w:rsidRPr="237399C7">
        <w:rPr>
          <w:rFonts w:ascii="DeutscheBank" w:hAnsi="DeutscheBank"/>
          <w:sz w:val="20"/>
          <w:szCs w:val="20"/>
        </w:rPr>
        <w:t>Bremse für Europas Attraktivität.</w:t>
      </w:r>
    </w:p>
    <w:p w14:paraId="65C42BDD" w14:textId="5A89F263" w:rsidR="000021C0" w:rsidRDefault="00973C4F" w:rsidP="00BD36F4">
      <w:pPr>
        <w:spacing w:after="150" w:line="288" w:lineRule="auto"/>
        <w:rPr>
          <w:rFonts w:ascii="DeutscheBank" w:hAnsi="DeutscheBank"/>
          <w:sz w:val="20"/>
          <w:szCs w:val="20"/>
        </w:rPr>
      </w:pPr>
      <w:r w:rsidRPr="00601F6C">
        <w:rPr>
          <w:rFonts w:ascii="DeutscheBank" w:hAnsi="DeutscheBank"/>
          <w:sz w:val="20"/>
          <w:szCs w:val="20"/>
        </w:rPr>
        <w:lastRenderedPageBreak/>
        <w:t xml:space="preserve">Die Auswirkungen werden jedoch sehr unterschiedlich wahrgenommen. Am stärksten ausgeprägt sind sie im Nahen Osten, wo </w:t>
      </w:r>
      <w:r w:rsidR="1FE2CFBF" w:rsidRPr="47942481">
        <w:rPr>
          <w:rFonts w:ascii="DeutscheBank" w:hAnsi="DeutscheBank"/>
          <w:sz w:val="20"/>
          <w:szCs w:val="20"/>
        </w:rPr>
        <w:t>8</w:t>
      </w:r>
      <w:r w:rsidR="7B6A44C6" w:rsidRPr="47942481">
        <w:rPr>
          <w:rFonts w:ascii="DeutscheBank" w:hAnsi="DeutscheBank"/>
          <w:sz w:val="20"/>
          <w:szCs w:val="20"/>
        </w:rPr>
        <w:t>6</w:t>
      </w:r>
      <w:r w:rsidRPr="00601F6C">
        <w:rPr>
          <w:rFonts w:ascii="DeutscheBank" w:hAnsi="DeutscheBank"/>
          <w:sz w:val="20"/>
          <w:szCs w:val="20"/>
        </w:rPr>
        <w:t xml:space="preserve"> Prozent von einem großen oder sehr großen Einfluss berichten</w:t>
      </w:r>
      <w:r w:rsidRPr="775FA5B1">
        <w:rPr>
          <w:rFonts w:ascii="DeutscheBank" w:hAnsi="DeutscheBank"/>
          <w:sz w:val="20"/>
          <w:szCs w:val="20"/>
        </w:rPr>
        <w:t>.</w:t>
      </w:r>
      <w:r w:rsidRPr="00601F6C">
        <w:rPr>
          <w:rFonts w:ascii="DeutscheBank" w:hAnsi="DeutscheBank"/>
          <w:sz w:val="20"/>
          <w:szCs w:val="20"/>
        </w:rPr>
        <w:t xml:space="preserve"> Es folgen Amerika mit 49 Prozent und Asien-Pazifik mit </w:t>
      </w:r>
      <w:r w:rsidR="49D655A2" w:rsidRPr="47942481">
        <w:rPr>
          <w:rFonts w:ascii="DeutscheBank" w:hAnsi="DeutscheBank"/>
          <w:sz w:val="20"/>
          <w:szCs w:val="20"/>
        </w:rPr>
        <w:t>2</w:t>
      </w:r>
      <w:r w:rsidR="33D5C1A3" w:rsidRPr="47942481">
        <w:rPr>
          <w:rFonts w:ascii="DeutscheBank" w:hAnsi="DeutscheBank"/>
          <w:sz w:val="20"/>
          <w:szCs w:val="20"/>
        </w:rPr>
        <w:t>6</w:t>
      </w:r>
      <w:r w:rsidRPr="00601F6C">
        <w:rPr>
          <w:rFonts w:ascii="DeutscheBank" w:hAnsi="DeutscheBank"/>
          <w:sz w:val="20"/>
          <w:szCs w:val="20"/>
        </w:rPr>
        <w:t xml:space="preserve"> Prozent. </w:t>
      </w:r>
      <w:r w:rsidR="2416A385" w:rsidRPr="0CEFE3E9">
        <w:rPr>
          <w:rFonts w:ascii="DeutscheBank" w:hAnsi="DeutscheBank"/>
          <w:sz w:val="20"/>
          <w:szCs w:val="20"/>
        </w:rPr>
        <w:t xml:space="preserve">Die Ergebnisse im </w:t>
      </w:r>
      <w:r w:rsidRPr="6AF52114">
        <w:rPr>
          <w:rFonts w:ascii="DeutscheBank" w:hAnsi="DeutscheBank"/>
          <w:sz w:val="20"/>
          <w:szCs w:val="20"/>
        </w:rPr>
        <w:t>Nahe</w:t>
      </w:r>
      <w:r w:rsidR="63F2C80C" w:rsidRPr="6AF52114">
        <w:rPr>
          <w:rFonts w:ascii="DeutscheBank" w:hAnsi="DeutscheBank"/>
          <w:sz w:val="20"/>
          <w:szCs w:val="20"/>
        </w:rPr>
        <w:t>n</w:t>
      </w:r>
      <w:r w:rsidRPr="00601F6C">
        <w:rPr>
          <w:rFonts w:ascii="DeutscheBank" w:hAnsi="DeutscheBank"/>
          <w:sz w:val="20"/>
          <w:szCs w:val="20"/>
        </w:rPr>
        <w:t xml:space="preserve"> Osten</w:t>
      </w:r>
      <w:r w:rsidR="757B2B15" w:rsidRPr="4429BE84">
        <w:rPr>
          <w:rFonts w:ascii="DeutscheBank" w:hAnsi="DeutscheBank"/>
          <w:sz w:val="20"/>
          <w:szCs w:val="20"/>
        </w:rPr>
        <w:t xml:space="preserve"> </w:t>
      </w:r>
      <w:r w:rsidR="757B2B15" w:rsidRPr="6AF52114">
        <w:rPr>
          <w:rFonts w:ascii="DeutscheBank" w:hAnsi="DeutscheBank"/>
          <w:sz w:val="20"/>
          <w:szCs w:val="20"/>
        </w:rPr>
        <w:t>zeig</w:t>
      </w:r>
      <w:r w:rsidR="0E508287" w:rsidRPr="6AF52114">
        <w:rPr>
          <w:rFonts w:ascii="DeutscheBank" w:hAnsi="DeutscheBank"/>
          <w:sz w:val="20"/>
          <w:szCs w:val="20"/>
        </w:rPr>
        <w:t>en</w:t>
      </w:r>
      <w:r w:rsidR="757B2B15" w:rsidRPr="4429BE84">
        <w:rPr>
          <w:rFonts w:ascii="DeutscheBank" w:hAnsi="DeutscheBank"/>
          <w:sz w:val="20"/>
          <w:szCs w:val="20"/>
        </w:rPr>
        <w:t xml:space="preserve"> </w:t>
      </w:r>
      <w:r w:rsidR="03A222B2" w:rsidRPr="30677671">
        <w:rPr>
          <w:rFonts w:ascii="DeutscheBank" w:hAnsi="DeutscheBank"/>
          <w:sz w:val="20"/>
          <w:szCs w:val="20"/>
        </w:rPr>
        <w:t>exemplarisch</w:t>
      </w:r>
      <w:r w:rsidR="757B2B15" w:rsidRPr="37CF0002">
        <w:rPr>
          <w:rFonts w:ascii="DeutscheBank" w:hAnsi="DeutscheBank"/>
          <w:sz w:val="20"/>
          <w:szCs w:val="20"/>
        </w:rPr>
        <w:t xml:space="preserve">, dass Europa </w:t>
      </w:r>
      <w:r w:rsidR="6E876A3C" w:rsidRPr="79D6159E">
        <w:rPr>
          <w:rFonts w:ascii="DeutscheBank" w:hAnsi="DeutscheBank"/>
          <w:sz w:val="20"/>
          <w:szCs w:val="20"/>
        </w:rPr>
        <w:t>viele Stärken hat,</w:t>
      </w:r>
      <w:r w:rsidRPr="00601F6C">
        <w:rPr>
          <w:rFonts w:ascii="DeutscheBank" w:hAnsi="DeutscheBank"/>
          <w:sz w:val="20"/>
          <w:szCs w:val="20"/>
        </w:rPr>
        <w:t xml:space="preserve"> </w:t>
      </w:r>
      <w:r w:rsidR="6E876A3C" w:rsidRPr="01DF4E85">
        <w:rPr>
          <w:rFonts w:ascii="DeutscheBank" w:hAnsi="DeutscheBank"/>
          <w:sz w:val="20"/>
          <w:szCs w:val="20"/>
        </w:rPr>
        <w:t xml:space="preserve">aber an den Rahmenbedingungen arbeiten </w:t>
      </w:r>
      <w:r w:rsidR="6E876A3C" w:rsidRPr="30677671">
        <w:rPr>
          <w:rFonts w:ascii="DeutscheBank" w:hAnsi="DeutscheBank"/>
          <w:sz w:val="20"/>
          <w:szCs w:val="20"/>
        </w:rPr>
        <w:t xml:space="preserve">muss: </w:t>
      </w:r>
      <w:r w:rsidRPr="00601F6C">
        <w:rPr>
          <w:rFonts w:ascii="DeutscheBank" w:hAnsi="DeutscheBank"/>
          <w:sz w:val="20"/>
          <w:szCs w:val="20"/>
        </w:rPr>
        <w:t>Die Region blickt besonders positiv auf Europa</w:t>
      </w:r>
      <w:r w:rsidR="114C3867" w:rsidRPr="2E198AE2">
        <w:rPr>
          <w:rFonts w:ascii="DeutscheBank" w:hAnsi="DeutscheBank"/>
          <w:sz w:val="20"/>
          <w:szCs w:val="20"/>
        </w:rPr>
        <w:t>,</w:t>
      </w:r>
      <w:r w:rsidRPr="00601F6C">
        <w:rPr>
          <w:rFonts w:ascii="DeutscheBank" w:hAnsi="DeutscheBank"/>
          <w:sz w:val="20"/>
          <w:szCs w:val="20"/>
        </w:rPr>
        <w:t xml:space="preserve"> äußert zugleich </w:t>
      </w:r>
      <w:r w:rsidR="27CA8A2C" w:rsidRPr="547B1770">
        <w:rPr>
          <w:rFonts w:ascii="DeutscheBank" w:hAnsi="DeutscheBank"/>
          <w:sz w:val="20"/>
          <w:szCs w:val="20"/>
        </w:rPr>
        <w:t xml:space="preserve">aber </w:t>
      </w:r>
      <w:r w:rsidRPr="00601F6C">
        <w:rPr>
          <w:rFonts w:ascii="DeutscheBank" w:hAnsi="DeutscheBank"/>
          <w:sz w:val="20"/>
          <w:szCs w:val="20"/>
        </w:rPr>
        <w:t>die stärkste Kritik an den bestehenden Reibungsverlusten</w:t>
      </w:r>
    </w:p>
    <w:p w14:paraId="723788A6" w14:textId="77777777" w:rsidR="00616721" w:rsidRDefault="00616721" w:rsidP="003935BE">
      <w:pPr>
        <w:spacing w:after="150" w:line="288" w:lineRule="auto"/>
        <w:rPr>
          <w:rFonts w:ascii="DeutscheBank" w:hAnsi="DeutscheBank"/>
          <w:sz w:val="20"/>
          <w:szCs w:val="20"/>
        </w:rPr>
      </w:pPr>
    </w:p>
    <w:p w14:paraId="56433F22" w14:textId="72E08FFD" w:rsidR="0008751D" w:rsidRPr="00205A18" w:rsidRDefault="038A38E2" w:rsidP="003935BE">
      <w:pPr>
        <w:spacing w:after="150" w:line="288" w:lineRule="auto"/>
      </w:pPr>
      <w:r w:rsidRPr="237399C7">
        <w:rPr>
          <w:rFonts w:ascii="DeutscheBank" w:hAnsi="DeutscheBank"/>
          <w:b/>
          <w:bCs/>
        </w:rPr>
        <w:t>Abbildung 1</w:t>
      </w:r>
      <w:r w:rsidR="00EB3A85" w:rsidRPr="237399C7">
        <w:rPr>
          <w:rFonts w:ascii="DeutscheBank" w:hAnsi="DeutscheBank"/>
          <w:b/>
          <w:bCs/>
        </w:rPr>
        <w:t>7</w:t>
      </w:r>
      <w:r w:rsidRPr="237399C7">
        <w:rPr>
          <w:rFonts w:ascii="DeutscheBank" w:hAnsi="DeutscheBank"/>
          <w:b/>
          <w:bCs/>
        </w:rPr>
        <w:t>: Ausmaß, in dem Reibungsverluste</w:t>
      </w:r>
      <w:r w:rsidR="0789284A" w:rsidRPr="237399C7">
        <w:rPr>
          <w:rFonts w:ascii="DeutscheBank" w:hAnsi="DeutscheBank"/>
          <w:b/>
          <w:bCs/>
        </w:rPr>
        <w:t xml:space="preserve"> bei grenzüberschreitenden Geschäften</w:t>
      </w:r>
      <w:r w:rsidRPr="237399C7">
        <w:rPr>
          <w:rFonts w:ascii="DeutscheBank" w:hAnsi="DeutscheBank"/>
          <w:b/>
          <w:bCs/>
        </w:rPr>
        <w:t xml:space="preserve"> die Attraktivität Europas mindern</w:t>
      </w:r>
      <w:r>
        <w:tab/>
      </w:r>
      <w:r>
        <w:tab/>
      </w:r>
      <w:r>
        <w:tab/>
      </w:r>
      <w:r>
        <w:tab/>
      </w:r>
      <w:r>
        <w:tab/>
      </w:r>
      <w:r>
        <w:tab/>
      </w:r>
      <w:r>
        <w:tab/>
      </w:r>
      <w:r>
        <w:tab/>
      </w:r>
      <w:r>
        <w:tab/>
      </w:r>
      <w:r>
        <w:tab/>
      </w:r>
      <w:r w:rsidR="000021C0" w:rsidRPr="237399C7">
        <w:rPr>
          <w:rFonts w:ascii="DeutscheBank" w:hAnsi="DeutscheBank"/>
          <w:b/>
          <w:bCs/>
        </w:rPr>
        <w:t xml:space="preserve">   </w:t>
      </w:r>
      <w:proofErr w:type="gramStart"/>
      <w:r w:rsidR="000021C0" w:rsidRPr="237399C7">
        <w:rPr>
          <w:rFonts w:ascii="DeutscheBank" w:hAnsi="DeutscheBank"/>
          <w:b/>
          <w:bCs/>
        </w:rPr>
        <w:t xml:space="preserve">   </w:t>
      </w:r>
      <w:r w:rsidR="0008751D">
        <w:t>(</w:t>
      </w:r>
      <w:proofErr w:type="gramEnd"/>
      <w:r w:rsidR="0008751D">
        <w:t>all</w:t>
      </w:r>
      <w:r w:rsidR="00205A18">
        <w:t>e</w:t>
      </w:r>
      <w:r w:rsidR="0008751D">
        <w:t xml:space="preserve"> </w:t>
      </w:r>
      <w:r w:rsidR="00601F6C">
        <w:t>Befragten</w:t>
      </w:r>
      <w:r w:rsidR="0008751D">
        <w:t>)</w:t>
      </w:r>
    </w:p>
    <w:p w14:paraId="047445BD" w14:textId="00179366" w:rsidR="00323F16" w:rsidRPr="00323F16" w:rsidRDefault="00323F16" w:rsidP="00323F16">
      <w:pPr>
        <w:keepNext/>
        <w:spacing w:before="140" w:after="40"/>
        <w:jc w:val="center"/>
        <w:rPr>
          <w:rFonts w:ascii="DeutscheBank" w:hAnsi="DeutscheBank"/>
        </w:rPr>
      </w:pPr>
      <w:r w:rsidRPr="00323F16">
        <w:rPr>
          <w:rFonts w:ascii="DeutscheBank" w:hAnsi="DeutscheBank"/>
          <w:noProof/>
        </w:rPr>
        <w:drawing>
          <wp:inline distT="0" distB="0" distL="0" distR="0" wp14:anchorId="71E54AD2" wp14:editId="2327017C">
            <wp:extent cx="3989070" cy="2471623"/>
            <wp:effectExtent l="0" t="0" r="0" b="5080"/>
            <wp:docPr id="690787407" name="Grafik 44" descr="Ringdiagramm zur Verteilung von Einschätzungen nach Ausmaß, das grenzüberschreitenden Reibungsverluste die Attraktivität mindern. 42 % entfallen auf „in gewissem Ausmaß“, 33 % auf „in großem Ausmaß“, 13 % auf „in geringem Ausmaß“, 10 % auf „in sehr großem Ausmaß“ und 2 % auf „überhaupt nicht“; Legende rechts ordnet fünf Blautöne 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87407" name="Grafik 44" descr="Ringdiagramm zur Verteilung von Einschätzungen nach Ausmaß, das grenzüberschreitenden Reibungsverluste die Attraktivität mindern. 42 % entfallen auf „in gewissem Ausmaß“, 33 % auf „in großem Ausmaß“, 13 % auf „in geringem Ausmaß“, 10 % auf „in sehr großem Ausmaß“ und 2 % auf „überhaupt nicht“; Legende rechts ordnet fünf Blautöne zu."/>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96905" cy="2476477"/>
                    </a:xfrm>
                    <a:prstGeom prst="rect">
                      <a:avLst/>
                    </a:prstGeom>
                    <a:noFill/>
                    <a:ln>
                      <a:noFill/>
                    </a:ln>
                  </pic:spPr>
                </pic:pic>
              </a:graphicData>
            </a:graphic>
          </wp:inline>
        </w:drawing>
      </w:r>
    </w:p>
    <w:p w14:paraId="6CD9E3B9" w14:textId="260F9379" w:rsidR="0008751D" w:rsidRPr="001E5405" w:rsidRDefault="0008751D" w:rsidP="00323F16">
      <w:pPr>
        <w:keepNext/>
        <w:spacing w:before="140" w:after="40"/>
        <w:rPr>
          <w:rFonts w:ascii="DeutscheBank" w:hAnsi="DeutscheBank"/>
        </w:rPr>
      </w:pPr>
    </w:p>
    <w:p w14:paraId="1DA5115E" w14:textId="1538EB4A" w:rsidR="004004D5" w:rsidRDefault="00205A18" w:rsidP="001A4893">
      <w:pPr>
        <w:spacing w:after="180"/>
        <w:jc w:val="both"/>
      </w:pPr>
      <w:r w:rsidRPr="00E6707A">
        <w:rPr>
          <w:rFonts w:ascii="DeutscheBank" w:hAnsi="DeutscheBank"/>
          <w:b/>
          <w:color w:val="000000" w:themeColor="text1"/>
          <w:sz w:val="16"/>
          <w:szCs w:val="16"/>
        </w:rPr>
        <w:t xml:space="preserve">Quelle: </w:t>
      </w:r>
      <w:r w:rsidRPr="00E6707A">
        <w:rPr>
          <w:rFonts w:ascii="DeutscheBank" w:hAnsi="DeutscheBank"/>
          <w:color w:val="000000" w:themeColor="text1"/>
          <w:sz w:val="16"/>
          <w:szCs w:val="16"/>
        </w:rPr>
        <w:t xml:space="preserve">Global Sentiment Survey on Europe 2026, B2B online Studie. </w:t>
      </w:r>
      <w:r w:rsidRPr="000E3D12">
        <w:rPr>
          <w:rFonts w:ascii="DeutscheBank" w:hAnsi="DeutscheBank"/>
          <w:color w:val="000000" w:themeColor="text1"/>
          <w:sz w:val="16"/>
          <w:szCs w:val="16"/>
        </w:rPr>
        <w:t>Basis</w:t>
      </w:r>
      <w:r w:rsidRPr="000E3D12">
        <w:rPr>
          <w:rFonts w:ascii="DeutscheBank" w:hAnsi="DeutscheBank"/>
          <w:b/>
          <w:bCs/>
          <w:color w:val="000000" w:themeColor="text1"/>
          <w:sz w:val="16"/>
          <w:szCs w:val="16"/>
        </w:rPr>
        <w:t>:</w:t>
      </w:r>
      <w:r w:rsidRPr="000E3D12">
        <w:rPr>
          <w:rFonts w:ascii="DeutscheBank" w:hAnsi="DeutscheBank"/>
          <w:color w:val="000000" w:themeColor="text1"/>
          <w:sz w:val="16"/>
          <w:szCs w:val="16"/>
        </w:rPr>
        <w:t xml:space="preserve"> n = 1,200</w:t>
      </w:r>
    </w:p>
    <w:p w14:paraId="352D5C23" w14:textId="21F812EB" w:rsidR="00B80147" w:rsidRDefault="00205A18" w:rsidP="00B80147">
      <w:pPr>
        <w:pStyle w:val="Caption"/>
        <w:rPr>
          <w:rFonts w:ascii="DeutscheBank" w:eastAsia="Arial" w:hAnsi="DeutscheBank" w:cs="Arial"/>
          <w:lang w:val="de-DE" w:eastAsia="de-DE"/>
          <w14:ligatures w14:val="none"/>
        </w:rPr>
      </w:pPr>
      <w:r w:rsidRPr="2CA84850">
        <w:rPr>
          <w:rFonts w:ascii="DeutscheBank" w:eastAsia="Arial" w:hAnsi="DeutscheBank" w:cs="Arial"/>
          <w:lang w:val="de-DE" w:eastAsia="de-DE"/>
          <w14:ligatures w14:val="none"/>
        </w:rPr>
        <w:t xml:space="preserve">Abbildung </w:t>
      </w:r>
      <w:r w:rsidR="00EB3A85" w:rsidRPr="070A5C0E">
        <w:rPr>
          <w:rFonts w:ascii="DeutscheBank" w:eastAsia="Arial" w:hAnsi="DeutscheBank" w:cs="Arial"/>
          <w:lang w:val="de-DE" w:eastAsia="de-DE"/>
        </w:rPr>
        <w:t>18</w:t>
      </w:r>
      <w:r w:rsidR="0008751D" w:rsidRPr="2CA84850">
        <w:rPr>
          <w:rFonts w:ascii="DeutscheBank" w:eastAsia="Arial" w:hAnsi="DeutscheBank" w:cs="Arial"/>
          <w:lang w:val="de-DE" w:eastAsia="de-DE"/>
          <w14:ligatures w14:val="none"/>
        </w:rPr>
        <w:t xml:space="preserve">: </w:t>
      </w:r>
      <w:r w:rsidRPr="2CA84850">
        <w:rPr>
          <w:rFonts w:ascii="DeutscheBank" w:eastAsia="Arial" w:hAnsi="DeutscheBank" w:cs="Arial"/>
          <w:lang w:val="de-DE" w:eastAsia="de-DE"/>
          <w14:ligatures w14:val="none"/>
        </w:rPr>
        <w:t xml:space="preserve">Ausmaß, in dem </w:t>
      </w:r>
      <w:r w:rsidRPr="63103312" w:rsidDel="00205A18">
        <w:rPr>
          <w:rFonts w:ascii="DeutscheBank" w:eastAsia="Arial" w:hAnsi="DeutscheBank" w:cs="Arial"/>
          <w:lang w:val="de-DE" w:eastAsia="de-DE"/>
        </w:rPr>
        <w:t>Reibungsverluste</w:t>
      </w:r>
      <w:r w:rsidR="0DD4FC8F" w:rsidRPr="237399C7">
        <w:rPr>
          <w:rFonts w:ascii="DeutscheBank" w:eastAsia="Arial" w:hAnsi="DeutscheBank" w:cs="Arial"/>
          <w:lang w:val="de-DE" w:eastAsia="de-DE"/>
        </w:rPr>
        <w:t xml:space="preserve"> bei grenzüberschreitenden Geschäften</w:t>
      </w:r>
      <w:r w:rsidRPr="237399C7">
        <w:rPr>
          <w:rFonts w:ascii="DeutscheBank" w:eastAsia="Arial" w:hAnsi="DeutscheBank" w:cs="Arial"/>
          <w:lang w:val="de-DE" w:eastAsia="de-DE"/>
        </w:rPr>
        <w:t xml:space="preserve"> die Attraktivität Europas mindern</w:t>
      </w:r>
    </w:p>
    <w:p w14:paraId="38AAC220" w14:textId="17BE0C58" w:rsidR="00B80147" w:rsidRPr="001A4893" w:rsidRDefault="002E48D8" w:rsidP="001A4893">
      <w:r>
        <w:t xml:space="preserve">Nach Region </w:t>
      </w:r>
      <w:r w:rsidR="00B80147">
        <w:t>(alle Befragten)</w:t>
      </w:r>
    </w:p>
    <w:p w14:paraId="0BBCB5D0" w14:textId="77794934" w:rsidR="00703D83" w:rsidRPr="00703D83" w:rsidRDefault="318EB486" w:rsidP="00703D83">
      <w:pPr>
        <w:keepNext/>
        <w:spacing w:before="140" w:after="40"/>
        <w:jc w:val="center"/>
        <w:rPr>
          <w:rFonts w:ascii="DeutscheBank" w:hAnsi="DeutscheBank"/>
        </w:rPr>
      </w:pPr>
      <w:r>
        <w:rPr>
          <w:noProof/>
        </w:rPr>
        <w:drawing>
          <wp:inline distT="0" distB="0" distL="0" distR="0" wp14:anchorId="65911CAD" wp14:editId="0E982003">
            <wp:extent cx="4337142" cy="2655736"/>
            <wp:effectExtent l="0" t="0" r="6350" b="0"/>
            <wp:docPr id="122162577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85897" cy="2685590"/>
                    </a:xfrm>
                    <a:prstGeom prst="rect">
                      <a:avLst/>
                    </a:prstGeom>
                    <a:noFill/>
                    <a:ln>
                      <a:noFill/>
                    </a:ln>
                  </pic:spPr>
                </pic:pic>
              </a:graphicData>
            </a:graphic>
          </wp:inline>
        </w:drawing>
      </w:r>
    </w:p>
    <w:p w14:paraId="04A4F642" w14:textId="6197B3F8" w:rsidR="00DC7A85" w:rsidRPr="00DC7A85" w:rsidRDefault="00DC7A85" w:rsidP="47942481">
      <w:pPr>
        <w:keepNext/>
        <w:spacing w:before="140" w:after="40"/>
        <w:rPr>
          <w:rFonts w:ascii="DeutscheBank" w:hAnsi="DeutscheBank"/>
        </w:rPr>
      </w:pPr>
    </w:p>
    <w:p w14:paraId="227737F0" w14:textId="77777777" w:rsidR="00205A18" w:rsidRPr="00205A18" w:rsidRDefault="00205A18" w:rsidP="00205A18">
      <w:pPr>
        <w:spacing w:after="180"/>
        <w:jc w:val="both"/>
        <w:rPr>
          <w:rFonts w:ascii="DeutscheBank" w:hAnsi="DeutscheBank"/>
          <w:color w:val="000000" w:themeColor="text1"/>
          <w:sz w:val="16"/>
          <w:szCs w:val="16"/>
          <w:lang w:val="en-US"/>
        </w:rPr>
      </w:pPr>
      <w:bookmarkStart w:id="17" w:name="_Toc239930546"/>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205A18">
        <w:rPr>
          <w:rFonts w:ascii="DeutscheBank" w:hAnsi="DeutscheBank"/>
          <w:color w:val="000000" w:themeColor="text1"/>
          <w:sz w:val="16"/>
          <w:szCs w:val="16"/>
          <w:lang w:val="en-US"/>
        </w:rPr>
        <w:t>Basis</w:t>
      </w:r>
      <w:r w:rsidRPr="00205A18">
        <w:rPr>
          <w:rFonts w:ascii="DeutscheBank" w:hAnsi="DeutscheBank"/>
          <w:b/>
          <w:bCs/>
          <w:color w:val="000000" w:themeColor="text1"/>
          <w:sz w:val="16"/>
          <w:szCs w:val="16"/>
          <w:lang w:val="en-US"/>
        </w:rPr>
        <w:t>:</w:t>
      </w:r>
      <w:r w:rsidRPr="00205A18">
        <w:rPr>
          <w:rFonts w:ascii="DeutscheBank" w:hAnsi="DeutscheBank"/>
          <w:color w:val="000000" w:themeColor="text1"/>
          <w:sz w:val="16"/>
          <w:szCs w:val="16"/>
          <w:lang w:val="en-US"/>
        </w:rPr>
        <w:t xml:space="preserve"> n = 1,200</w:t>
      </w:r>
    </w:p>
    <w:p w14:paraId="61CB9845" w14:textId="2D435579" w:rsidR="0008751D" w:rsidRPr="00753ED7" w:rsidRDefault="00753ED7" w:rsidP="00461CB9">
      <w:pPr>
        <w:pStyle w:val="Heading1"/>
        <w:pageBreakBefore/>
        <w:ind w:left="432"/>
        <w:rPr>
          <w:rFonts w:ascii="DeutscheBank" w:hAnsi="DeutscheBank"/>
          <w:sz w:val="28"/>
          <w:szCs w:val="28"/>
        </w:rPr>
      </w:pPr>
      <w:bookmarkStart w:id="18" w:name="_Toc240632252"/>
      <w:bookmarkEnd w:id="17"/>
      <w:r w:rsidRPr="00753ED7">
        <w:rPr>
          <w:rFonts w:ascii="DeutscheBank" w:hAnsi="DeutscheBank"/>
          <w:sz w:val="28"/>
          <w:szCs w:val="28"/>
        </w:rPr>
        <w:lastRenderedPageBreak/>
        <w:t>Europa kann seine Wettbewerbsfähigkeit im Bereich KI weiter stärken</w:t>
      </w:r>
      <w:bookmarkEnd w:id="18"/>
    </w:p>
    <w:p w14:paraId="0BD65FC8" w14:textId="0445B764" w:rsidR="00C96068" w:rsidRPr="00C96068" w:rsidRDefault="17FEDBB8" w:rsidP="00C96068">
      <w:pPr>
        <w:spacing w:after="150" w:line="288" w:lineRule="auto"/>
        <w:rPr>
          <w:rFonts w:ascii="DeutscheBank" w:hAnsi="DeutscheBank"/>
          <w:sz w:val="20"/>
          <w:szCs w:val="20"/>
        </w:rPr>
      </w:pPr>
      <w:r w:rsidRPr="074F5009">
        <w:rPr>
          <w:rFonts w:ascii="DeutscheBank" w:hAnsi="DeutscheBank"/>
          <w:sz w:val="20"/>
          <w:szCs w:val="20"/>
        </w:rPr>
        <w:t>K</w:t>
      </w:r>
      <w:r w:rsidR="00C96068" w:rsidRPr="00C96068">
        <w:rPr>
          <w:rFonts w:ascii="DeutscheBank" w:hAnsi="DeutscheBank"/>
          <w:sz w:val="20"/>
          <w:szCs w:val="20"/>
        </w:rPr>
        <w:t xml:space="preserve">ünstliche Intelligenz </w:t>
      </w:r>
      <w:r w:rsidR="31638EE3" w:rsidRPr="69F30735">
        <w:rPr>
          <w:rFonts w:ascii="DeutscheBank" w:hAnsi="DeutscheBank"/>
          <w:sz w:val="20"/>
          <w:szCs w:val="20"/>
        </w:rPr>
        <w:t>ist eine der wichtigsten Technologien</w:t>
      </w:r>
      <w:r w:rsidR="31638EE3" w:rsidRPr="5A74A05F">
        <w:rPr>
          <w:rFonts w:ascii="DeutscheBank" w:hAnsi="DeutscheBank"/>
          <w:sz w:val="20"/>
          <w:szCs w:val="20"/>
        </w:rPr>
        <w:t xml:space="preserve">, die Investitionsentscheidungen künftig </w:t>
      </w:r>
      <w:r w:rsidR="31638EE3" w:rsidRPr="0BC09AA6">
        <w:rPr>
          <w:rFonts w:ascii="DeutscheBank" w:hAnsi="DeutscheBank"/>
          <w:sz w:val="20"/>
          <w:szCs w:val="20"/>
        </w:rPr>
        <w:t>beeinflussen wird</w:t>
      </w:r>
      <w:r w:rsidR="00C96068" w:rsidRPr="5643120D">
        <w:rPr>
          <w:rFonts w:ascii="DeutscheBank" w:hAnsi="DeutscheBank"/>
          <w:sz w:val="20"/>
          <w:szCs w:val="20"/>
        </w:rPr>
        <w:t>.</w:t>
      </w:r>
      <w:r w:rsidR="00C96068" w:rsidRPr="00C96068">
        <w:rPr>
          <w:rFonts w:ascii="DeutscheBank" w:hAnsi="DeutscheBank"/>
          <w:sz w:val="20"/>
          <w:szCs w:val="20"/>
        </w:rPr>
        <w:t xml:space="preserve"> Die Investoren sind sich einig, dass Europa eine führende Rolle in der KI-Wirtschaft einnehmen sollte</w:t>
      </w:r>
      <w:r w:rsidR="314C4FBD" w:rsidRPr="5643120D">
        <w:rPr>
          <w:rFonts w:ascii="DeutscheBank" w:hAnsi="DeutscheBank"/>
          <w:sz w:val="20"/>
          <w:szCs w:val="20"/>
        </w:rPr>
        <w:t xml:space="preserve"> </w:t>
      </w:r>
      <w:r w:rsidR="4B57D1BB" w:rsidRPr="070A5C0E">
        <w:rPr>
          <w:rFonts w:ascii="DeutscheBank" w:hAnsi="DeutscheBank"/>
          <w:sz w:val="20"/>
          <w:szCs w:val="20"/>
        </w:rPr>
        <w:t>–</w:t>
      </w:r>
      <w:r w:rsidR="314C4FBD" w:rsidRPr="346A3818">
        <w:rPr>
          <w:rFonts w:ascii="DeutscheBank" w:hAnsi="DeutscheBank"/>
          <w:sz w:val="20"/>
          <w:szCs w:val="20"/>
        </w:rPr>
        <w:t xml:space="preserve"> und</w:t>
      </w:r>
      <w:r w:rsidR="00C96068" w:rsidRPr="00C96068">
        <w:rPr>
          <w:rFonts w:ascii="DeutscheBank" w:hAnsi="DeutscheBank"/>
          <w:sz w:val="20"/>
          <w:szCs w:val="20"/>
        </w:rPr>
        <w:t xml:space="preserve"> sie äußern ebenso klar, was dafür nötig ist. Ihre Prioritäten decken sich dabei weitgehend, wobei der größte Nachdruck auf einem einfacheren und stärker harmonisierten Regulierungsrahmen liegt. </w:t>
      </w:r>
    </w:p>
    <w:p w14:paraId="5A9D8BBF" w14:textId="715EF3DB" w:rsidR="0008751D" w:rsidRPr="00C96068" w:rsidRDefault="00C96068" w:rsidP="00C96068">
      <w:pPr>
        <w:spacing w:after="150" w:line="288" w:lineRule="auto"/>
        <w:rPr>
          <w:rFonts w:ascii="DeutscheBank" w:hAnsi="DeutscheBank"/>
          <w:sz w:val="20"/>
          <w:szCs w:val="20"/>
        </w:rPr>
      </w:pPr>
      <w:r w:rsidRPr="00C96068">
        <w:rPr>
          <w:rFonts w:ascii="DeutscheBank" w:hAnsi="DeutscheBank"/>
          <w:sz w:val="20"/>
          <w:szCs w:val="20"/>
        </w:rPr>
        <w:t xml:space="preserve">Die Botschaft ist eindeutig: Investoren sehen zwar ein </w:t>
      </w:r>
      <w:r w:rsidR="36226C5F" w:rsidRPr="47942481">
        <w:rPr>
          <w:rFonts w:ascii="DeutscheBank" w:hAnsi="DeutscheBank"/>
          <w:sz w:val="20"/>
          <w:szCs w:val="20"/>
        </w:rPr>
        <w:t>großes</w:t>
      </w:r>
      <w:r w:rsidRPr="00C96068">
        <w:rPr>
          <w:rFonts w:ascii="DeutscheBank" w:hAnsi="DeutscheBank"/>
          <w:sz w:val="20"/>
          <w:szCs w:val="20"/>
        </w:rPr>
        <w:t xml:space="preserve"> Potenzial für Europas KI-Zukunft. Doch um dieses Potenzial freizusetzen, braucht es ein Umfeld, das die Entwicklung, Skalierung und Anwendung von Innovationen in der gesamten Region spürbar erleichtert</w:t>
      </w:r>
      <w:r w:rsidR="0008751D" w:rsidRPr="00C96068">
        <w:rPr>
          <w:rFonts w:ascii="DeutscheBank" w:hAnsi="DeutscheBank"/>
          <w:sz w:val="20"/>
          <w:szCs w:val="20"/>
        </w:rPr>
        <w:t>.</w:t>
      </w:r>
    </w:p>
    <w:p w14:paraId="690701D0" w14:textId="77777777" w:rsidR="0008751D" w:rsidRPr="00C96068" w:rsidRDefault="0008751D" w:rsidP="0008751D">
      <w:pPr>
        <w:spacing w:before="40" w:after="90"/>
        <w:jc w:val="both"/>
        <w:rPr>
          <w:rFonts w:ascii="DeutscheBank" w:hAnsi="DeutscheBank"/>
          <w:b/>
          <w:bCs/>
          <w:caps/>
          <w:color w:val="5A6472"/>
          <w:sz w:val="18"/>
          <w:szCs w:val="18"/>
        </w:rPr>
      </w:pPr>
    </w:p>
    <w:p w14:paraId="15EF0F9D" w14:textId="77777777" w:rsidR="00753ED7" w:rsidRPr="00C90D62" w:rsidRDefault="00753ED7" w:rsidP="00753ED7">
      <w:pPr>
        <w:spacing w:before="40" w:after="90"/>
        <w:jc w:val="both"/>
        <w:rPr>
          <w:rFonts w:ascii="DeutscheBank" w:hAnsi="DeutscheBank"/>
          <w:lang w:val="en-US"/>
        </w:rPr>
      </w:pPr>
      <w:r w:rsidRPr="00C90D62">
        <w:rPr>
          <w:rFonts w:ascii="DeutscheBank" w:hAnsi="DeutscheBank"/>
          <w:b/>
          <w:caps/>
          <w:color w:val="5A6472"/>
          <w:sz w:val="18"/>
          <w:szCs w:val="18"/>
          <w:lang w:val="en-US"/>
        </w:rPr>
        <w:t>A</w:t>
      </w:r>
      <w:r>
        <w:rPr>
          <w:rFonts w:ascii="DeutscheBank" w:hAnsi="DeutscheBank"/>
          <w:b/>
          <w:caps/>
          <w:color w:val="5A6472"/>
          <w:sz w:val="18"/>
          <w:szCs w:val="18"/>
          <w:lang w:val="en-US"/>
        </w:rPr>
        <w:t>UF EINEN BLICK</w:t>
      </w:r>
    </w:p>
    <w:tbl>
      <w:tblPr>
        <w:tblW w:w="8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1"/>
        <w:gridCol w:w="2977"/>
        <w:gridCol w:w="2835"/>
      </w:tblGrid>
      <w:tr w:rsidR="0008751D" w:rsidRPr="009A1DAA" w14:paraId="003AA96A" w14:textId="77777777" w:rsidTr="00C87F4F">
        <w:tc>
          <w:tcPr>
            <w:tcW w:w="311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A0B366A" w14:textId="77777777" w:rsidR="0008751D" w:rsidRPr="001B2ED9" w:rsidRDefault="0008751D" w:rsidP="009C2716">
            <w:pPr>
              <w:spacing w:after="40"/>
              <w:jc w:val="both"/>
              <w:rPr>
                <w:rFonts w:ascii="DeutscheBank" w:hAnsi="DeutscheBank"/>
              </w:rPr>
            </w:pPr>
            <w:r w:rsidRPr="001B2ED9">
              <w:rPr>
                <w:rFonts w:ascii="DeutscheBank" w:hAnsi="DeutscheBank"/>
                <w:b/>
                <w:bCs/>
                <w:color w:val="0069B1"/>
                <w:sz w:val="30"/>
                <w:szCs w:val="30"/>
              </w:rPr>
              <w:t>33%</w:t>
            </w:r>
          </w:p>
          <w:p w14:paraId="4B337EB0" w14:textId="1FE6BFDD" w:rsidR="0008751D" w:rsidRPr="001B2ED9" w:rsidRDefault="001B2ED9" w:rsidP="001B2ED9">
            <w:pPr>
              <w:rPr>
                <w:rFonts w:ascii="DeutscheBank" w:hAnsi="DeutscheBank"/>
              </w:rPr>
            </w:pPr>
            <w:r w:rsidRPr="001B2ED9">
              <w:rPr>
                <w:rFonts w:ascii="DeutscheBank" w:hAnsi="DeutscheBank"/>
                <w:color w:val="5A6472"/>
                <w:sz w:val="16"/>
                <w:szCs w:val="16"/>
              </w:rPr>
              <w:t>wünschen sich einfachere KI-Regulierung und regulatorische Rahmenbedingungen</w:t>
            </w:r>
          </w:p>
        </w:tc>
        <w:tc>
          <w:tcPr>
            <w:tcW w:w="2977"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118FFB49" w14:textId="77777777" w:rsidR="0008751D" w:rsidRPr="001E5405" w:rsidRDefault="0008751D" w:rsidP="009C2716">
            <w:pPr>
              <w:spacing w:after="40"/>
              <w:jc w:val="both"/>
              <w:rPr>
                <w:rFonts w:ascii="DeutscheBank" w:hAnsi="DeutscheBank"/>
              </w:rPr>
            </w:pPr>
            <w:r w:rsidRPr="001E5405">
              <w:rPr>
                <w:rFonts w:ascii="DeutscheBank" w:hAnsi="DeutscheBank"/>
                <w:b/>
                <w:bCs/>
                <w:color w:val="0069B1"/>
                <w:sz w:val="30"/>
                <w:szCs w:val="30"/>
              </w:rPr>
              <w:t>31%</w:t>
            </w:r>
          </w:p>
          <w:p w14:paraId="5BA7CEB9" w14:textId="5F832C0F" w:rsidR="0008751D" w:rsidRPr="001E5405" w:rsidRDefault="006B1A24" w:rsidP="006B1A24">
            <w:pPr>
              <w:rPr>
                <w:rFonts w:ascii="DeutscheBank" w:hAnsi="DeutscheBank"/>
              </w:rPr>
            </w:pPr>
            <w:r w:rsidRPr="006B1A24">
              <w:rPr>
                <w:rFonts w:ascii="DeutscheBank" w:hAnsi="DeutscheBank"/>
                <w:color w:val="5A6472"/>
                <w:sz w:val="16"/>
                <w:szCs w:val="16"/>
              </w:rPr>
              <w:t>wünschen sich eine modernisierte technologische Infrastruktur</w:t>
            </w:r>
          </w:p>
        </w:tc>
        <w:tc>
          <w:tcPr>
            <w:tcW w:w="28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5D7AB705" w14:textId="77777777" w:rsidR="0008751D" w:rsidRPr="000E3D12" w:rsidRDefault="0008751D" w:rsidP="009C2716">
            <w:pPr>
              <w:spacing w:after="40"/>
              <w:jc w:val="both"/>
              <w:rPr>
                <w:rFonts w:ascii="DeutscheBank" w:hAnsi="DeutscheBank"/>
              </w:rPr>
            </w:pPr>
            <w:r w:rsidRPr="000E3D12">
              <w:rPr>
                <w:rFonts w:ascii="DeutscheBank" w:hAnsi="DeutscheBank"/>
                <w:b/>
                <w:bCs/>
                <w:color w:val="0069B1"/>
                <w:sz w:val="30"/>
                <w:szCs w:val="30"/>
              </w:rPr>
              <w:t>28%</w:t>
            </w:r>
          </w:p>
          <w:p w14:paraId="47CC35D9" w14:textId="6946EAF7" w:rsidR="0008751D" w:rsidRPr="00B45461" w:rsidRDefault="00B45461" w:rsidP="00B45461">
            <w:pPr>
              <w:rPr>
                <w:rFonts w:ascii="DeutscheBank" w:hAnsi="DeutscheBank"/>
              </w:rPr>
            </w:pPr>
            <w:r w:rsidRPr="00B45461">
              <w:rPr>
                <w:rFonts w:ascii="DeutscheBank" w:hAnsi="DeutscheBank"/>
                <w:color w:val="5A6472"/>
                <w:sz w:val="16"/>
                <w:szCs w:val="16"/>
              </w:rPr>
              <w:t>wünschen sich einen besseren Zugang zu Wachstumskapital für KI</w:t>
            </w:r>
          </w:p>
        </w:tc>
      </w:tr>
    </w:tbl>
    <w:p w14:paraId="65820A58" w14:textId="77777777" w:rsidR="0008751D" w:rsidRPr="00B45461" w:rsidRDefault="0008751D" w:rsidP="0008751D">
      <w:pPr>
        <w:spacing w:after="80"/>
        <w:jc w:val="both"/>
        <w:rPr>
          <w:rFonts w:ascii="DeutscheBank" w:hAnsi="DeutscheBank"/>
        </w:rPr>
      </w:pPr>
    </w:p>
    <w:p w14:paraId="48D3ACB5" w14:textId="2DFD8A0F" w:rsidR="0008751D" w:rsidRPr="00F761B7" w:rsidRDefault="00F761B7" w:rsidP="00AA76E2">
      <w:pPr>
        <w:pStyle w:val="Heading2"/>
        <w:rPr>
          <w:rFonts w:ascii="DeutscheBank" w:hAnsi="DeutscheBank"/>
          <w:color w:val="000000" w:themeColor="text1"/>
          <w:sz w:val="20"/>
          <w:szCs w:val="20"/>
        </w:rPr>
      </w:pPr>
      <w:r w:rsidRPr="00F761B7">
        <w:rPr>
          <w:rFonts w:ascii="DeutscheBank" w:hAnsi="DeutscheBank"/>
          <w:color w:val="000000" w:themeColor="text1"/>
          <w:sz w:val="20"/>
          <w:szCs w:val="20"/>
        </w:rPr>
        <w:t>Handlungsbedarf in allen Bereichen des KI-Ökosystems</w:t>
      </w:r>
    </w:p>
    <w:p w14:paraId="0B49641C" w14:textId="4C69B45E" w:rsidR="00FB5F7C" w:rsidRPr="00FB5F7C" w:rsidRDefault="00FB5F7C" w:rsidP="00FB5F7C">
      <w:pPr>
        <w:spacing w:after="150" w:line="288" w:lineRule="auto"/>
        <w:rPr>
          <w:rFonts w:ascii="DeutscheBank" w:hAnsi="DeutscheBank"/>
          <w:sz w:val="20"/>
          <w:szCs w:val="20"/>
        </w:rPr>
      </w:pPr>
      <w:r w:rsidRPr="00FB5F7C">
        <w:rPr>
          <w:rFonts w:ascii="DeutscheBank" w:hAnsi="DeutscheBank"/>
          <w:sz w:val="20"/>
          <w:szCs w:val="20"/>
        </w:rPr>
        <w:t xml:space="preserve">Auf die Frage, wie Europa für Investitionen, Innovation und den Einsatz von </w:t>
      </w:r>
      <w:r w:rsidR="080C27D9" w:rsidRPr="2E009ED1">
        <w:rPr>
          <w:rFonts w:ascii="DeutscheBank" w:hAnsi="DeutscheBank"/>
          <w:sz w:val="20"/>
          <w:szCs w:val="20"/>
        </w:rPr>
        <w:t>k</w:t>
      </w:r>
      <w:r w:rsidRPr="00FB5F7C">
        <w:rPr>
          <w:rFonts w:ascii="DeutscheBank" w:hAnsi="DeutscheBank"/>
          <w:sz w:val="20"/>
          <w:szCs w:val="20"/>
        </w:rPr>
        <w:t xml:space="preserve">ünstlicher Intelligenz </w:t>
      </w:r>
      <w:r w:rsidR="2A140185" w:rsidRPr="2E009ED1">
        <w:rPr>
          <w:rFonts w:ascii="DeutscheBank" w:hAnsi="DeutscheBank"/>
          <w:sz w:val="20"/>
          <w:szCs w:val="20"/>
        </w:rPr>
        <w:t xml:space="preserve">noch </w:t>
      </w:r>
      <w:r w:rsidRPr="00FB5F7C">
        <w:rPr>
          <w:rFonts w:ascii="DeutscheBank" w:hAnsi="DeutscheBank"/>
          <w:sz w:val="20"/>
          <w:szCs w:val="20"/>
        </w:rPr>
        <w:t xml:space="preserve">attraktiver werden kann, </w:t>
      </w:r>
      <w:r w:rsidR="25E837AE" w:rsidRPr="0C2A6236">
        <w:rPr>
          <w:rFonts w:ascii="DeutscheBank" w:hAnsi="DeutscheBank"/>
          <w:sz w:val="20"/>
          <w:szCs w:val="20"/>
        </w:rPr>
        <w:t xml:space="preserve">steht </w:t>
      </w:r>
      <w:r w:rsidR="25E837AE" w:rsidRPr="6E2C54DD">
        <w:rPr>
          <w:rFonts w:ascii="DeutscheBank" w:hAnsi="DeutscheBank"/>
          <w:sz w:val="20"/>
          <w:szCs w:val="20"/>
        </w:rPr>
        <w:t>a</w:t>
      </w:r>
      <w:r w:rsidRPr="6E2C54DD">
        <w:rPr>
          <w:rFonts w:ascii="DeutscheBank" w:hAnsi="DeutscheBank"/>
          <w:sz w:val="20"/>
          <w:szCs w:val="20"/>
        </w:rPr>
        <w:t>n</w:t>
      </w:r>
      <w:r w:rsidRPr="00FB5F7C">
        <w:rPr>
          <w:rFonts w:ascii="DeutscheBank" w:hAnsi="DeutscheBank"/>
          <w:sz w:val="20"/>
          <w:szCs w:val="20"/>
        </w:rPr>
        <w:t xml:space="preserve"> erster Stelle die Vereinfachung der KI-Regulierung und der damit verbundenen Rahmenbedingungen (33 Prozent). Es folgen der Ausbau der technologischen Infrastruktur (31 Prozent), die Stärkung digitaler Kompetenzen sowie die Schaffung wettbewerbsfähiger Technologieanreize (jeweils 29 Prozent) und ein verbesserter Zugang zu KI-Wachstumskapital (28 Prozent).</w:t>
      </w:r>
    </w:p>
    <w:p w14:paraId="43472DFE" w14:textId="3EB1EB8C" w:rsidR="004004D5" w:rsidRDefault="004004D5" w:rsidP="47942481">
      <w:pPr>
        <w:spacing w:after="150" w:line="288" w:lineRule="auto"/>
        <w:rPr>
          <w:rFonts w:ascii="DeutscheBank" w:hAnsi="DeutscheBank"/>
          <w:sz w:val="20"/>
          <w:szCs w:val="20"/>
        </w:rPr>
      </w:pPr>
      <w:r>
        <w:rPr>
          <w:rFonts w:ascii="DeutscheBank" w:hAnsi="DeutscheBank"/>
          <w:sz w:val="20"/>
          <w:szCs w:val="20"/>
        </w:rPr>
        <w:br w:type="page"/>
      </w:r>
    </w:p>
    <w:p w14:paraId="4C897C28" w14:textId="1C641EF6" w:rsidR="0008751D" w:rsidRPr="0013058E" w:rsidRDefault="00FB5F7C" w:rsidP="0008751D">
      <w:pPr>
        <w:pStyle w:val="Caption"/>
        <w:rPr>
          <w:rFonts w:ascii="DeutscheBank" w:eastAsia="Arial" w:hAnsi="DeutscheBank" w:cs="Arial"/>
          <w:bCs/>
          <w:iCs w:val="0"/>
          <w:szCs w:val="20"/>
          <w:lang w:val="de-DE" w:eastAsia="de-DE"/>
          <w14:ligatures w14:val="none"/>
        </w:rPr>
      </w:pPr>
      <w:r w:rsidRPr="0013058E">
        <w:rPr>
          <w:rFonts w:ascii="DeutscheBank" w:eastAsia="Arial" w:hAnsi="DeutscheBank" w:cs="Arial"/>
          <w:bCs/>
          <w:iCs w:val="0"/>
          <w:szCs w:val="20"/>
          <w:lang w:val="de-DE" w:eastAsia="de-DE"/>
          <w14:ligatures w14:val="none"/>
        </w:rPr>
        <w:lastRenderedPageBreak/>
        <w:t>Abbildung</w:t>
      </w:r>
      <w:r w:rsidR="0008751D" w:rsidRPr="0013058E">
        <w:rPr>
          <w:rFonts w:ascii="DeutscheBank" w:eastAsia="Arial" w:hAnsi="DeutscheBank" w:cs="Arial"/>
          <w:bCs/>
          <w:iCs w:val="0"/>
          <w:szCs w:val="20"/>
          <w:lang w:val="de-DE" w:eastAsia="de-DE"/>
          <w14:ligatures w14:val="none"/>
        </w:rPr>
        <w:t xml:space="preserve"> </w:t>
      </w:r>
      <w:r w:rsidR="00EB3A85">
        <w:rPr>
          <w:rFonts w:ascii="DeutscheBank" w:eastAsia="Arial" w:hAnsi="DeutscheBank" w:cs="Arial"/>
          <w:bCs/>
          <w:iCs w:val="0"/>
          <w:szCs w:val="20"/>
          <w:lang w:val="de-DE" w:eastAsia="de-DE"/>
          <w14:ligatures w14:val="none"/>
        </w:rPr>
        <w:t>19</w:t>
      </w:r>
      <w:r w:rsidR="0008751D" w:rsidRPr="0013058E">
        <w:rPr>
          <w:rFonts w:ascii="DeutscheBank" w:eastAsia="Arial" w:hAnsi="DeutscheBank" w:cs="Arial"/>
          <w:bCs/>
          <w:iCs w:val="0"/>
          <w:szCs w:val="20"/>
          <w:lang w:val="de-DE" w:eastAsia="de-DE"/>
          <w14:ligatures w14:val="none"/>
        </w:rPr>
        <w:t xml:space="preserve">: </w:t>
      </w:r>
      <w:r w:rsidR="0013058E" w:rsidRPr="0013058E">
        <w:rPr>
          <w:rFonts w:ascii="DeutscheBank" w:eastAsia="Arial" w:hAnsi="DeutscheBank" w:cs="Arial"/>
          <w:bCs/>
          <w:iCs w:val="0"/>
          <w:szCs w:val="20"/>
          <w:lang w:val="de-DE" w:eastAsia="de-DE"/>
          <w14:ligatures w14:val="none"/>
        </w:rPr>
        <w:t>Maßnahmen zur Steigerung der Attraktivität Europas für KI</w:t>
      </w:r>
    </w:p>
    <w:p w14:paraId="516CFAEC" w14:textId="716EC14C" w:rsidR="0008751D" w:rsidRPr="005C15E8" w:rsidRDefault="005C15E8" w:rsidP="0008751D">
      <w:pPr>
        <w:pStyle w:val="Copy"/>
        <w:rPr>
          <w:rFonts w:ascii="DeutscheBank" w:hAnsi="DeutscheBank"/>
          <w:szCs w:val="20"/>
          <w:lang w:val="de-DE"/>
        </w:rPr>
      </w:pPr>
      <w:r w:rsidRPr="005C15E8">
        <w:rPr>
          <w:rFonts w:ascii="DeutscheBank" w:hAnsi="DeutscheBank"/>
          <w:szCs w:val="20"/>
          <w:lang w:val="de-DE"/>
        </w:rPr>
        <w:t xml:space="preserve">Auswahl der drei wichtigsten Maßnahmen </w:t>
      </w:r>
      <w:r w:rsidR="0008751D" w:rsidRPr="005C15E8">
        <w:rPr>
          <w:rFonts w:ascii="DeutscheBank" w:eastAsia="Arial" w:hAnsi="DeutscheBank" w:cs="Arial"/>
          <w:color w:val="222222"/>
          <w:szCs w:val="20"/>
          <w:lang w:val="de-DE" w:eastAsia="de-DE"/>
          <w14:ligatures w14:val="none"/>
        </w:rPr>
        <w:t>(al</w:t>
      </w:r>
      <w:r w:rsidRPr="005C15E8">
        <w:rPr>
          <w:rFonts w:ascii="DeutscheBank" w:eastAsia="Arial" w:hAnsi="DeutscheBank" w:cs="Arial"/>
          <w:color w:val="222222"/>
          <w:szCs w:val="20"/>
          <w:lang w:val="de-DE" w:eastAsia="de-DE"/>
          <w14:ligatures w14:val="none"/>
        </w:rPr>
        <w:t>le Befragten</w:t>
      </w:r>
      <w:r w:rsidR="0008751D" w:rsidRPr="005C15E8">
        <w:rPr>
          <w:rFonts w:ascii="DeutscheBank" w:eastAsia="Arial" w:hAnsi="DeutscheBank" w:cs="Arial"/>
          <w:color w:val="222222"/>
          <w:szCs w:val="20"/>
          <w:lang w:val="de-DE" w:eastAsia="de-DE"/>
          <w14:ligatures w14:val="none"/>
        </w:rPr>
        <w:t>)</w:t>
      </w:r>
    </w:p>
    <w:p w14:paraId="7EBB9EE5" w14:textId="52319A94" w:rsidR="00DC7A85" w:rsidRPr="00DC7A85" w:rsidRDefault="00DC7A85" w:rsidP="00DC7A85">
      <w:pPr>
        <w:spacing w:after="150" w:line="288" w:lineRule="auto"/>
        <w:jc w:val="center"/>
        <w:rPr>
          <w:rFonts w:ascii="DeutscheBank" w:hAnsi="DeutscheBank"/>
          <w:b/>
          <w:bCs/>
          <w:color w:val="000000" w:themeColor="text1"/>
          <w:sz w:val="16"/>
          <w:szCs w:val="16"/>
        </w:rPr>
      </w:pPr>
      <w:r w:rsidRPr="00DC7A85">
        <w:rPr>
          <w:rFonts w:ascii="DeutscheBank" w:hAnsi="DeutscheBank"/>
          <w:b/>
          <w:bCs/>
          <w:noProof/>
          <w:color w:val="000000" w:themeColor="text1"/>
          <w:sz w:val="16"/>
          <w:szCs w:val="16"/>
        </w:rPr>
        <w:drawing>
          <wp:inline distT="0" distB="0" distL="0" distR="0" wp14:anchorId="5C6DE373" wp14:editId="69E030EC">
            <wp:extent cx="4522470" cy="2821559"/>
            <wp:effectExtent l="0" t="0" r="0" b="0"/>
            <wp:docPr id="519340698" name="Grafik 48" descr="Horizontales Balkendiagramm zu wahrgenommenen Prioritäten für europäische KI-Politik und Technologieentwicklung. Dunkelblaue Balken zeigen Anteile von 33 % für vereinfachte KI-Regulierung, 31 % für Modernisierung technologischer Infrastruktur bis zu 21 % für Unterstützung von KI-Unternehmen und europäischer Technologie-Champ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40698" name="Grafik 48" descr="Horizontales Balkendiagramm zu wahrgenommenen Prioritäten für europäische KI-Politik und Technologieentwicklung. Dunkelblaue Balken zeigen Anteile von 33 % für vereinfachte KI-Regulierung, 31 % für Modernisierung technologischer Infrastruktur bis zu 21 % für Unterstützung von KI-Unternehmen und europäischer Technologie-Champions.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30272" cy="2826426"/>
                    </a:xfrm>
                    <a:prstGeom prst="rect">
                      <a:avLst/>
                    </a:prstGeom>
                    <a:noFill/>
                    <a:ln>
                      <a:noFill/>
                    </a:ln>
                  </pic:spPr>
                </pic:pic>
              </a:graphicData>
            </a:graphic>
          </wp:inline>
        </w:drawing>
      </w:r>
    </w:p>
    <w:p w14:paraId="77A45E02" w14:textId="49DB6BA0" w:rsidR="00791E3F" w:rsidRDefault="00791E3F" w:rsidP="00791E3F">
      <w:pPr>
        <w:spacing w:after="150" w:line="288" w:lineRule="auto"/>
        <w:jc w:val="center"/>
        <w:rPr>
          <w:rFonts w:ascii="DeutscheBank" w:hAnsi="DeutscheBank"/>
          <w:b/>
          <w:bCs/>
          <w:color w:val="000000" w:themeColor="text1"/>
          <w:sz w:val="16"/>
          <w:szCs w:val="16"/>
          <w:lang w:val="en-GB"/>
        </w:rPr>
      </w:pPr>
    </w:p>
    <w:p w14:paraId="4DF48181" w14:textId="77777777" w:rsidR="005C15E8" w:rsidRPr="001A4893" w:rsidRDefault="005C15E8" w:rsidP="005C15E8">
      <w:pPr>
        <w:spacing w:after="180"/>
        <w:jc w:val="both"/>
        <w:rPr>
          <w:rFonts w:ascii="DeutscheBank" w:hAnsi="DeutscheBank"/>
          <w:color w:val="000000" w:themeColor="text1"/>
          <w:sz w:val="16"/>
          <w:szCs w:val="16"/>
        </w:rPr>
      </w:pPr>
      <w:bookmarkStart w:id="19" w:name="_Toc239717613"/>
      <w:bookmarkStart w:id="20" w:name="_Toc239842210"/>
      <w:bookmarkStart w:id="21" w:name="_Toc239930548"/>
      <w:r w:rsidRPr="00E6707A">
        <w:rPr>
          <w:rFonts w:ascii="DeutscheBank" w:hAnsi="DeutscheBank"/>
          <w:b/>
          <w:color w:val="000000" w:themeColor="text1"/>
          <w:sz w:val="16"/>
          <w:szCs w:val="16"/>
        </w:rPr>
        <w:t xml:space="preserve">Quelle: </w:t>
      </w:r>
      <w:r w:rsidRPr="00E6707A">
        <w:rPr>
          <w:rFonts w:ascii="DeutscheBank" w:hAnsi="DeutscheBank"/>
          <w:color w:val="000000" w:themeColor="text1"/>
          <w:sz w:val="16"/>
          <w:szCs w:val="16"/>
        </w:rPr>
        <w:t xml:space="preserve">Global Sentiment Survey on Europe 2026, B2B online Studie. </w:t>
      </w:r>
      <w:r w:rsidRPr="001A4893">
        <w:rPr>
          <w:rFonts w:ascii="DeutscheBank" w:hAnsi="DeutscheBank"/>
          <w:color w:val="000000" w:themeColor="text1"/>
          <w:sz w:val="16"/>
          <w:szCs w:val="16"/>
        </w:rPr>
        <w:t>Basis</w:t>
      </w:r>
      <w:r w:rsidRPr="001A4893">
        <w:rPr>
          <w:rFonts w:ascii="DeutscheBank" w:hAnsi="DeutscheBank"/>
          <w:b/>
          <w:color w:val="000000" w:themeColor="text1"/>
          <w:sz w:val="16"/>
          <w:szCs w:val="16"/>
        </w:rPr>
        <w:t>:</w:t>
      </w:r>
      <w:r w:rsidRPr="001A4893">
        <w:rPr>
          <w:rFonts w:ascii="DeutscheBank" w:hAnsi="DeutscheBank"/>
          <w:color w:val="000000" w:themeColor="text1"/>
          <w:sz w:val="16"/>
          <w:szCs w:val="16"/>
        </w:rPr>
        <w:t xml:space="preserve"> n = 1,200</w:t>
      </w:r>
    </w:p>
    <w:p w14:paraId="1FB42FC5" w14:textId="77777777" w:rsidR="006D2685" w:rsidRPr="001A4893" w:rsidRDefault="006D2685" w:rsidP="005C15E8">
      <w:pPr>
        <w:spacing w:after="180"/>
        <w:jc w:val="both"/>
        <w:rPr>
          <w:rFonts w:ascii="DeutscheBank" w:hAnsi="DeutscheBank"/>
          <w:color w:val="000000" w:themeColor="text1"/>
          <w:sz w:val="16"/>
          <w:szCs w:val="16"/>
        </w:rPr>
      </w:pPr>
    </w:p>
    <w:bookmarkEnd w:id="19"/>
    <w:bookmarkEnd w:id="20"/>
    <w:bookmarkEnd w:id="21"/>
    <w:p w14:paraId="17F9ECB3" w14:textId="4EB75295" w:rsidR="007E0D73" w:rsidRPr="007E0D73" w:rsidRDefault="71B18E4E" w:rsidP="6E2C54DD">
      <w:pPr>
        <w:spacing w:after="150" w:line="288" w:lineRule="auto"/>
      </w:pPr>
      <w:r w:rsidRPr="6E2C54DD">
        <w:rPr>
          <w:rFonts w:ascii="DeutscheBank" w:hAnsi="DeutscheBank"/>
          <w:sz w:val="20"/>
          <w:szCs w:val="20"/>
        </w:rPr>
        <w:t xml:space="preserve">Investoren erwarten von Europa Fortschritte auf mehreren Feldern gleichzeitig. </w:t>
      </w:r>
      <w:r w:rsidR="007E0D73" w:rsidRPr="007E0D73">
        <w:rPr>
          <w:rFonts w:ascii="DeutscheBank" w:hAnsi="DeutscheBank"/>
          <w:sz w:val="20"/>
          <w:szCs w:val="20"/>
        </w:rPr>
        <w:t xml:space="preserve">In ihrer Gesamtheit ergeben die elf Maßnahmen eine klare Agenda für Europas Wettbewerbsfähigkeit im Bereich KI. </w:t>
      </w:r>
    </w:p>
    <w:p w14:paraId="3E64132F" w14:textId="066B2976" w:rsidR="007E0D73" w:rsidRPr="007E0D73" w:rsidRDefault="6DE716FC" w:rsidP="007E0D73">
      <w:pPr>
        <w:spacing w:after="150" w:line="288" w:lineRule="auto"/>
        <w:rPr>
          <w:rFonts w:ascii="DeutscheBank" w:hAnsi="DeutscheBank"/>
          <w:sz w:val="20"/>
          <w:szCs w:val="20"/>
        </w:rPr>
      </w:pPr>
      <w:r w:rsidRPr="6E2C54DD">
        <w:rPr>
          <w:rFonts w:ascii="DeutscheBank" w:hAnsi="DeutscheBank"/>
          <w:sz w:val="20"/>
          <w:szCs w:val="20"/>
        </w:rPr>
        <w:t>Erstens:</w:t>
      </w:r>
      <w:r w:rsidR="1D4FEC4E" w:rsidRPr="6E2C54DD">
        <w:rPr>
          <w:rFonts w:ascii="DeutscheBank" w:hAnsi="DeutscheBank"/>
          <w:sz w:val="20"/>
          <w:szCs w:val="20"/>
        </w:rPr>
        <w:t xml:space="preserve"> Hürden beseitigen</w:t>
      </w:r>
      <w:r w:rsidR="5C5C94E7" w:rsidRPr="6E2C54DD">
        <w:rPr>
          <w:rFonts w:ascii="DeutscheBank" w:hAnsi="DeutscheBank"/>
          <w:sz w:val="20"/>
          <w:szCs w:val="20"/>
        </w:rPr>
        <w:t xml:space="preserve"> durch bessere Vorschriften, </w:t>
      </w:r>
      <w:r w:rsidR="007E0D73" w:rsidRPr="007E0D73">
        <w:rPr>
          <w:rFonts w:ascii="DeutscheBank" w:hAnsi="DeutscheBank"/>
          <w:sz w:val="20"/>
          <w:szCs w:val="20"/>
        </w:rPr>
        <w:t xml:space="preserve">stärkere Koordinierung auf EU-Ebene und verlässliche Standards für einen verantwortungsvollen Einsatz von KI. </w:t>
      </w:r>
      <w:r w:rsidR="03DB2DE9" w:rsidRPr="6E2C54DD">
        <w:rPr>
          <w:rFonts w:ascii="DeutscheBank" w:hAnsi="DeutscheBank"/>
          <w:sz w:val="20"/>
          <w:szCs w:val="20"/>
        </w:rPr>
        <w:t xml:space="preserve">Zweitens: Kapazitäten aufbauen, </w:t>
      </w:r>
      <w:r w:rsidR="03DB2DE9" w:rsidRPr="077399CD">
        <w:rPr>
          <w:rFonts w:ascii="DeutscheBank" w:hAnsi="DeutscheBank"/>
          <w:sz w:val="20"/>
          <w:szCs w:val="20"/>
        </w:rPr>
        <w:t>um</w:t>
      </w:r>
      <w:r w:rsidR="00FE5EEB">
        <w:rPr>
          <w:rFonts w:ascii="DeutscheBank" w:hAnsi="DeutscheBank"/>
          <w:sz w:val="20"/>
          <w:szCs w:val="20"/>
        </w:rPr>
        <w:t xml:space="preserve"> </w:t>
      </w:r>
      <w:r w:rsidR="007E0D73" w:rsidRPr="007E0D73">
        <w:rPr>
          <w:rFonts w:ascii="DeutscheBank" w:hAnsi="DeutscheBank"/>
          <w:sz w:val="20"/>
          <w:szCs w:val="20"/>
        </w:rPr>
        <w:t xml:space="preserve">die für den globalen Wettbewerb notwendige Rechenleistung, das Kapital und die </w:t>
      </w:r>
      <w:r w:rsidR="630ABCA2" w:rsidRPr="4CBB6818">
        <w:rPr>
          <w:rFonts w:ascii="DeutscheBank" w:hAnsi="DeutscheBank"/>
          <w:sz w:val="20"/>
          <w:szCs w:val="20"/>
        </w:rPr>
        <w:t xml:space="preserve">passenden </w:t>
      </w:r>
      <w:r w:rsidR="007E0D73" w:rsidRPr="4CBB6818">
        <w:rPr>
          <w:rFonts w:ascii="DeutscheBank" w:hAnsi="DeutscheBank"/>
          <w:sz w:val="20"/>
          <w:szCs w:val="20"/>
        </w:rPr>
        <w:t>Talente</w:t>
      </w:r>
      <w:r w:rsidR="007E0D73" w:rsidRPr="007E0D73">
        <w:rPr>
          <w:rFonts w:ascii="DeutscheBank" w:hAnsi="DeutscheBank"/>
          <w:sz w:val="20"/>
          <w:szCs w:val="20"/>
        </w:rPr>
        <w:t xml:space="preserve"> in Europa physisch und strukturell zu verankern. </w:t>
      </w:r>
      <w:r w:rsidR="59FD2BC6" w:rsidRPr="6E2C54DD">
        <w:rPr>
          <w:rFonts w:ascii="DeutscheBank" w:hAnsi="DeutscheBank"/>
          <w:sz w:val="20"/>
          <w:szCs w:val="20"/>
        </w:rPr>
        <w:t>Und Drittens:</w:t>
      </w:r>
      <w:r w:rsidR="007E0D73" w:rsidRPr="007E0D73">
        <w:rPr>
          <w:rFonts w:ascii="DeutscheBank" w:hAnsi="DeutscheBank"/>
          <w:sz w:val="20"/>
          <w:szCs w:val="20"/>
        </w:rPr>
        <w:t xml:space="preserve"> </w:t>
      </w:r>
      <w:r w:rsidR="7C8C3ED4" w:rsidRPr="6E2C54DD">
        <w:rPr>
          <w:rFonts w:ascii="DeutscheBank" w:hAnsi="DeutscheBank"/>
          <w:sz w:val="20"/>
          <w:szCs w:val="20"/>
        </w:rPr>
        <w:t>Nachfrage schaffen, zum Beispiel</w:t>
      </w:r>
      <w:r w:rsidR="007E0D73" w:rsidRPr="6E2C54DD" w:rsidDel="007E0D73">
        <w:rPr>
          <w:rFonts w:ascii="DeutscheBank" w:hAnsi="DeutscheBank"/>
          <w:sz w:val="20"/>
          <w:szCs w:val="20"/>
        </w:rPr>
        <w:t xml:space="preserve"> </w:t>
      </w:r>
      <w:r w:rsidR="3AE0930A" w:rsidRPr="6E2C54DD">
        <w:rPr>
          <w:rFonts w:ascii="DeutscheBank" w:hAnsi="DeutscheBank"/>
          <w:sz w:val="20"/>
          <w:szCs w:val="20"/>
        </w:rPr>
        <w:t>durch</w:t>
      </w:r>
      <w:r w:rsidR="007E0D73" w:rsidRPr="007E0D73">
        <w:rPr>
          <w:rFonts w:ascii="DeutscheBank" w:hAnsi="DeutscheBank"/>
          <w:sz w:val="20"/>
          <w:szCs w:val="20"/>
        </w:rPr>
        <w:t xml:space="preserve"> wettbewerbsfähige steuerliche Rahmenbedingungen und Anreizsysteme, eine beschleunigte KI-Adaption in der Wirtschaft und im öffentlichen Sektor, die Unterstützung von KI-Start-ups sowie den nötigen Freiraum für das Wachstum europäischer Branchenführer („Champions“).</w:t>
      </w:r>
    </w:p>
    <w:p w14:paraId="5DF2184D" w14:textId="77777777" w:rsidR="004449B4" w:rsidRPr="007E0D73" w:rsidRDefault="004449B4" w:rsidP="007E0D73">
      <w:pPr>
        <w:spacing w:after="150" w:line="288" w:lineRule="auto"/>
        <w:rPr>
          <w:rFonts w:ascii="DeutscheBank" w:hAnsi="DeutscheBank"/>
          <w:sz w:val="20"/>
          <w:szCs w:val="20"/>
        </w:rPr>
      </w:pPr>
    </w:p>
    <w:p w14:paraId="37DAC9A7" w14:textId="46E1E165" w:rsidR="0008751D" w:rsidRPr="00723429" w:rsidRDefault="00723429" w:rsidP="000F7E59">
      <w:pPr>
        <w:pStyle w:val="Heading1"/>
        <w:pageBreakBefore/>
        <w:ind w:left="432"/>
        <w:rPr>
          <w:rFonts w:ascii="DeutscheBank" w:hAnsi="DeutscheBank"/>
          <w:sz w:val="28"/>
          <w:szCs w:val="28"/>
        </w:rPr>
      </w:pPr>
      <w:bookmarkStart w:id="22" w:name="_Toc240632253"/>
      <w:r w:rsidRPr="00723429">
        <w:rPr>
          <w:rFonts w:ascii="DeutscheBank" w:hAnsi="DeutscheBank"/>
          <w:sz w:val="28"/>
          <w:szCs w:val="28"/>
        </w:rPr>
        <w:lastRenderedPageBreak/>
        <w:t>Europäische Banken können eine Schlüsselrolle bei Investitionen übernehmen</w:t>
      </w:r>
      <w:bookmarkEnd w:id="22"/>
    </w:p>
    <w:p w14:paraId="5F76CEBA" w14:textId="330FB597" w:rsidR="0008751D" w:rsidRPr="000E3D12" w:rsidRDefault="00AD2C1B" w:rsidP="2EAC6EF2">
      <w:pPr>
        <w:spacing w:after="150" w:line="288" w:lineRule="auto"/>
        <w:rPr>
          <w:rFonts w:ascii="DeutscheBank" w:hAnsi="DeutscheBank"/>
          <w:sz w:val="20"/>
          <w:szCs w:val="20"/>
        </w:rPr>
      </w:pPr>
      <w:r w:rsidRPr="000E3D12">
        <w:rPr>
          <w:rFonts w:ascii="DeutscheBank" w:hAnsi="DeutscheBank"/>
          <w:sz w:val="20"/>
          <w:szCs w:val="20"/>
        </w:rPr>
        <w:t xml:space="preserve">Während Investoren ihr Vertrauen in Europa zunehmend in konkrete Investitionsentscheidungen </w:t>
      </w:r>
      <w:r w:rsidR="2939868F" w:rsidRPr="791528A1">
        <w:rPr>
          <w:rFonts w:ascii="DeutscheBank" w:hAnsi="DeutscheBank"/>
          <w:sz w:val="20"/>
          <w:szCs w:val="20"/>
        </w:rPr>
        <w:t>über</w:t>
      </w:r>
      <w:r w:rsidRPr="000E3D12">
        <w:rPr>
          <w:rFonts w:ascii="DeutscheBank" w:hAnsi="DeutscheBank"/>
          <w:sz w:val="20"/>
          <w:szCs w:val="20"/>
        </w:rPr>
        <w:t xml:space="preserve">setzen, gewinnt die Wahl des Finanzpartners immer mehr an Bedeutung. Internationale Unternehmen </w:t>
      </w:r>
      <w:r w:rsidR="13FCC9CF" w:rsidRPr="6E2C54DD">
        <w:rPr>
          <w:rFonts w:ascii="DeutscheBank" w:hAnsi="DeutscheBank"/>
          <w:sz w:val="20"/>
          <w:szCs w:val="20"/>
        </w:rPr>
        <w:t xml:space="preserve">schätzen </w:t>
      </w:r>
      <w:r w:rsidRPr="000E3D12">
        <w:rPr>
          <w:rFonts w:ascii="DeutscheBank" w:hAnsi="DeutscheBank"/>
          <w:sz w:val="20"/>
          <w:szCs w:val="20"/>
        </w:rPr>
        <w:t>dabei europäische Banken</w:t>
      </w:r>
      <w:r w:rsidR="3DD9CB93" w:rsidRPr="6E2C54DD">
        <w:rPr>
          <w:rFonts w:ascii="DeutscheBank" w:hAnsi="DeutscheBank"/>
          <w:sz w:val="20"/>
          <w:szCs w:val="20"/>
        </w:rPr>
        <w:t xml:space="preserve"> durchweg sehr</w:t>
      </w:r>
      <w:r w:rsidRPr="6E2C54DD">
        <w:rPr>
          <w:rFonts w:ascii="DeutscheBank" w:hAnsi="DeutscheBank"/>
          <w:sz w:val="20"/>
          <w:szCs w:val="20"/>
        </w:rPr>
        <w:t>.</w:t>
      </w:r>
      <w:r w:rsidRPr="000E3D12">
        <w:rPr>
          <w:rFonts w:ascii="DeutscheBank" w:hAnsi="DeutscheBank"/>
          <w:sz w:val="20"/>
          <w:szCs w:val="20"/>
        </w:rPr>
        <w:t xml:space="preserve"> Ausschlaggebend sind weniger Kostenaspekte als vielmehr jene Eigenschaften, die bei der Begleitung komplexer grenzüberschreitender Investitionen besonders wichtig sind: finanzielle </w:t>
      </w:r>
      <w:r w:rsidR="39C310D6" w:rsidRPr="47942481">
        <w:rPr>
          <w:rFonts w:ascii="DeutscheBank" w:hAnsi="DeutscheBank"/>
          <w:sz w:val="20"/>
          <w:szCs w:val="20"/>
        </w:rPr>
        <w:t>Stärke</w:t>
      </w:r>
      <w:r w:rsidR="10693687" w:rsidRPr="47942481">
        <w:rPr>
          <w:rFonts w:ascii="DeutscheBank" w:hAnsi="DeutscheBank"/>
          <w:sz w:val="20"/>
          <w:szCs w:val="20"/>
        </w:rPr>
        <w:t>,</w:t>
      </w:r>
      <w:r w:rsidRPr="000E3D12">
        <w:rPr>
          <w:rFonts w:ascii="DeutscheBank" w:hAnsi="DeutscheBank"/>
          <w:sz w:val="20"/>
          <w:szCs w:val="20"/>
        </w:rPr>
        <w:t xml:space="preserve"> </w:t>
      </w:r>
      <w:r w:rsidR="2A8EF45D" w:rsidRPr="4B07A880">
        <w:rPr>
          <w:rFonts w:ascii="DeutscheBank" w:hAnsi="DeutscheBank"/>
          <w:sz w:val="20"/>
          <w:szCs w:val="20"/>
        </w:rPr>
        <w:t xml:space="preserve">ausgeprägte </w:t>
      </w:r>
      <w:r w:rsidRPr="000E3D12">
        <w:rPr>
          <w:rFonts w:ascii="DeutscheBank" w:hAnsi="DeutscheBank"/>
          <w:sz w:val="20"/>
          <w:szCs w:val="20"/>
        </w:rPr>
        <w:t>Compliance-Kompetenzen und lokale Marktkenntnis. Gemeinsam verschaffen diese Faktoren europäischen Banken einen spürbaren Heimvorteil und tragen zu ihrer wichtigen Rolle bei der Unterstützung internationaler Investitionen in der Region bei</w:t>
      </w:r>
      <w:r w:rsidR="0008751D" w:rsidRPr="000E3D12">
        <w:rPr>
          <w:rFonts w:ascii="DeutscheBank" w:hAnsi="DeutscheBank"/>
          <w:sz w:val="20"/>
          <w:szCs w:val="20"/>
        </w:rPr>
        <w:t>.</w:t>
      </w:r>
    </w:p>
    <w:p w14:paraId="6BE5A536" w14:textId="77777777" w:rsidR="0008751D" w:rsidRPr="00AD2C1B" w:rsidRDefault="0008751D" w:rsidP="0008751D">
      <w:pPr>
        <w:spacing w:after="150" w:line="288" w:lineRule="auto"/>
        <w:jc w:val="both"/>
        <w:rPr>
          <w:rFonts w:ascii="DeutscheBank" w:hAnsi="DeutscheBank"/>
        </w:rPr>
      </w:pPr>
    </w:p>
    <w:p w14:paraId="7FDE87FE" w14:textId="77777777" w:rsidR="00AD2C1B" w:rsidRPr="00C90D62" w:rsidRDefault="00AD2C1B" w:rsidP="00AD2C1B">
      <w:pPr>
        <w:spacing w:before="40" w:after="90"/>
        <w:jc w:val="both"/>
        <w:rPr>
          <w:rFonts w:ascii="DeutscheBank" w:hAnsi="DeutscheBank"/>
          <w:lang w:val="en-US"/>
        </w:rPr>
      </w:pPr>
      <w:r w:rsidRPr="00C90D62">
        <w:rPr>
          <w:rFonts w:ascii="DeutscheBank" w:hAnsi="DeutscheBank"/>
          <w:b/>
          <w:caps/>
          <w:color w:val="5A6472"/>
          <w:sz w:val="18"/>
          <w:szCs w:val="18"/>
          <w:lang w:val="en-US"/>
        </w:rPr>
        <w:t>A</w:t>
      </w:r>
      <w:r>
        <w:rPr>
          <w:rFonts w:ascii="DeutscheBank" w:hAnsi="DeutscheBank"/>
          <w:b/>
          <w:caps/>
          <w:color w:val="5A6472"/>
          <w:sz w:val="18"/>
          <w:szCs w:val="18"/>
          <w:lang w:val="en-US"/>
        </w:rPr>
        <w:t>UF EINEN BLICK</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53"/>
        <w:gridCol w:w="3118"/>
        <w:gridCol w:w="2693"/>
      </w:tblGrid>
      <w:tr w:rsidR="0008751D" w:rsidRPr="001E5405" w14:paraId="61FEDA7C" w14:textId="77777777" w:rsidTr="003F5E15">
        <w:tc>
          <w:tcPr>
            <w:tcW w:w="325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6E540992" w14:textId="77777777" w:rsidR="0008751D" w:rsidRPr="001E5405" w:rsidRDefault="0008751D" w:rsidP="009C2716">
            <w:pPr>
              <w:spacing w:after="40"/>
              <w:jc w:val="both"/>
              <w:rPr>
                <w:rFonts w:ascii="DeutscheBank" w:hAnsi="DeutscheBank"/>
                <w:lang w:val="en-GB"/>
              </w:rPr>
            </w:pPr>
            <w:r w:rsidRPr="001E5405">
              <w:rPr>
                <w:rFonts w:ascii="DeutscheBank" w:hAnsi="DeutscheBank"/>
                <w:b/>
                <w:bCs/>
                <w:color w:val="0069B1"/>
                <w:sz w:val="30"/>
                <w:szCs w:val="30"/>
                <w:lang w:val="en-GB"/>
              </w:rPr>
              <w:t>60%</w:t>
            </w:r>
          </w:p>
          <w:p w14:paraId="29001B87" w14:textId="10ECB7BE" w:rsidR="0008751D" w:rsidRPr="001E5405" w:rsidRDefault="00185E05" w:rsidP="00185E05">
            <w:pPr>
              <w:rPr>
                <w:rFonts w:ascii="DeutscheBank" w:hAnsi="DeutscheBank"/>
                <w:lang w:val="en-GB"/>
              </w:rPr>
            </w:pPr>
            <w:proofErr w:type="spellStart"/>
            <w:r w:rsidRPr="00185E05">
              <w:rPr>
                <w:rFonts w:ascii="DeutscheBank" w:hAnsi="DeutscheBank"/>
                <w:color w:val="5A6472"/>
                <w:sz w:val="16"/>
                <w:szCs w:val="16"/>
                <w:lang w:val="en-GB"/>
              </w:rPr>
              <w:t>bevorzugen</w:t>
            </w:r>
            <w:proofErr w:type="spellEnd"/>
            <w:r w:rsidRPr="00185E05">
              <w:rPr>
                <w:rFonts w:ascii="DeutscheBank" w:hAnsi="DeutscheBank"/>
                <w:color w:val="5A6472"/>
                <w:sz w:val="16"/>
                <w:szCs w:val="16"/>
                <w:lang w:val="en-GB"/>
              </w:rPr>
              <w:t xml:space="preserve"> </w:t>
            </w:r>
            <w:proofErr w:type="spellStart"/>
            <w:r w:rsidRPr="00185E05">
              <w:rPr>
                <w:rFonts w:ascii="DeutscheBank" w:hAnsi="DeutscheBank"/>
                <w:color w:val="5A6472"/>
                <w:sz w:val="16"/>
                <w:szCs w:val="16"/>
                <w:lang w:val="en-GB"/>
              </w:rPr>
              <w:t>einen</w:t>
            </w:r>
            <w:proofErr w:type="spellEnd"/>
            <w:r w:rsidRPr="00185E05">
              <w:rPr>
                <w:rFonts w:ascii="DeutscheBank" w:hAnsi="DeutscheBank"/>
                <w:color w:val="5A6472"/>
                <w:sz w:val="16"/>
                <w:szCs w:val="16"/>
                <w:lang w:val="en-GB"/>
              </w:rPr>
              <w:t xml:space="preserve"> </w:t>
            </w:r>
            <w:proofErr w:type="spellStart"/>
            <w:r w:rsidRPr="00185E05">
              <w:rPr>
                <w:rFonts w:ascii="DeutscheBank" w:hAnsi="DeutscheBank"/>
                <w:color w:val="5A6472"/>
                <w:sz w:val="16"/>
                <w:szCs w:val="16"/>
                <w:lang w:val="en-GB"/>
              </w:rPr>
              <w:t>europäischen</w:t>
            </w:r>
            <w:proofErr w:type="spellEnd"/>
            <w:r w:rsidRPr="00185E05">
              <w:rPr>
                <w:rFonts w:ascii="DeutscheBank" w:hAnsi="DeutscheBank"/>
                <w:color w:val="5A6472"/>
                <w:sz w:val="16"/>
                <w:szCs w:val="16"/>
                <w:lang w:val="en-GB"/>
              </w:rPr>
              <w:t xml:space="preserve"> </w:t>
            </w:r>
            <w:proofErr w:type="spellStart"/>
            <w:r w:rsidRPr="00185E05">
              <w:rPr>
                <w:rFonts w:ascii="DeutscheBank" w:hAnsi="DeutscheBank"/>
                <w:color w:val="5A6472"/>
                <w:sz w:val="16"/>
                <w:szCs w:val="16"/>
                <w:lang w:val="en-GB"/>
              </w:rPr>
              <w:t>Bankpartner</w:t>
            </w:r>
            <w:proofErr w:type="spellEnd"/>
          </w:p>
        </w:tc>
        <w:tc>
          <w:tcPr>
            <w:tcW w:w="31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042CDCB1" w14:textId="77777777" w:rsidR="0008751D" w:rsidRPr="000E3D12" w:rsidRDefault="0008751D" w:rsidP="009C2716">
            <w:pPr>
              <w:spacing w:after="40"/>
              <w:jc w:val="both"/>
              <w:rPr>
                <w:rFonts w:ascii="DeutscheBank" w:hAnsi="DeutscheBank"/>
              </w:rPr>
            </w:pPr>
            <w:r w:rsidRPr="000E3D12">
              <w:rPr>
                <w:rFonts w:ascii="DeutscheBank" w:hAnsi="DeutscheBank"/>
                <w:b/>
                <w:bCs/>
                <w:color w:val="0069B1"/>
                <w:sz w:val="30"/>
                <w:szCs w:val="30"/>
              </w:rPr>
              <w:t>97%</w:t>
            </w:r>
          </w:p>
          <w:p w14:paraId="481B3330" w14:textId="2E03934F" w:rsidR="0008751D" w:rsidRPr="001979E9" w:rsidRDefault="001979E9" w:rsidP="001979E9">
            <w:pPr>
              <w:rPr>
                <w:rFonts w:ascii="DeutscheBank" w:hAnsi="DeutscheBank"/>
              </w:rPr>
            </w:pPr>
            <w:r w:rsidRPr="001979E9">
              <w:rPr>
                <w:rFonts w:ascii="DeutscheBank" w:hAnsi="DeutscheBank"/>
                <w:color w:val="5A6472"/>
                <w:sz w:val="16"/>
                <w:szCs w:val="16"/>
              </w:rPr>
              <w:t>im Nahen Osten bevorzugen einen europäischen Bankpartner</w:t>
            </w:r>
          </w:p>
        </w:tc>
        <w:tc>
          <w:tcPr>
            <w:tcW w:w="2693"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EF3FA"/>
            <w:tcMar>
              <w:top w:w="120" w:type="dxa"/>
              <w:left w:w="120" w:type="dxa"/>
              <w:bottom w:w="120" w:type="dxa"/>
              <w:right w:w="120" w:type="dxa"/>
            </w:tcMar>
          </w:tcPr>
          <w:p w14:paraId="56879DD0" w14:textId="77777777" w:rsidR="0008751D" w:rsidRPr="001E5405" w:rsidRDefault="0008751D" w:rsidP="009C2716">
            <w:pPr>
              <w:spacing w:after="40"/>
              <w:jc w:val="both"/>
              <w:rPr>
                <w:rFonts w:ascii="DeutscheBank" w:hAnsi="DeutscheBank"/>
              </w:rPr>
            </w:pPr>
            <w:r w:rsidRPr="001E5405">
              <w:rPr>
                <w:rFonts w:ascii="DeutscheBank" w:hAnsi="DeutscheBank"/>
                <w:b/>
                <w:bCs/>
                <w:color w:val="0069B1"/>
                <w:sz w:val="30"/>
                <w:szCs w:val="30"/>
              </w:rPr>
              <w:t>37%</w:t>
            </w:r>
          </w:p>
          <w:p w14:paraId="2BBE2B8D" w14:textId="51DDE13D" w:rsidR="0008751D" w:rsidRPr="001E5405" w:rsidRDefault="008733EB" w:rsidP="008733EB">
            <w:pPr>
              <w:rPr>
                <w:rFonts w:ascii="DeutscheBank" w:hAnsi="DeutscheBank"/>
              </w:rPr>
            </w:pPr>
            <w:r w:rsidRPr="008733EB">
              <w:rPr>
                <w:rFonts w:ascii="DeutscheBank" w:hAnsi="DeutscheBank"/>
                <w:color w:val="5A6472"/>
                <w:sz w:val="16"/>
                <w:szCs w:val="16"/>
              </w:rPr>
              <w:t>priorisieren finanzielle Stärke</w:t>
            </w:r>
          </w:p>
        </w:tc>
      </w:tr>
    </w:tbl>
    <w:p w14:paraId="0910C455" w14:textId="77777777" w:rsidR="0008751D" w:rsidRPr="001E5405" w:rsidRDefault="0008751D" w:rsidP="0008751D">
      <w:pPr>
        <w:spacing w:after="80"/>
        <w:jc w:val="both"/>
        <w:rPr>
          <w:rFonts w:ascii="DeutscheBank" w:hAnsi="DeutscheBank"/>
        </w:rPr>
      </w:pPr>
    </w:p>
    <w:p w14:paraId="634898F7" w14:textId="6D3E58D4" w:rsidR="0008751D" w:rsidRPr="00A95FFB" w:rsidRDefault="00A95FFB" w:rsidP="00AA76E2">
      <w:pPr>
        <w:pStyle w:val="Heading2"/>
        <w:rPr>
          <w:rFonts w:ascii="DeutscheBank" w:hAnsi="DeutscheBank"/>
          <w:color w:val="000000" w:themeColor="text1"/>
          <w:sz w:val="20"/>
          <w:szCs w:val="20"/>
        </w:rPr>
      </w:pPr>
      <w:r w:rsidRPr="00A95FFB">
        <w:rPr>
          <w:rFonts w:ascii="DeutscheBank" w:hAnsi="DeutscheBank"/>
          <w:color w:val="000000" w:themeColor="text1"/>
          <w:sz w:val="20"/>
          <w:szCs w:val="20"/>
        </w:rPr>
        <w:t>Eine klare Präferenz für europäische Partner</w:t>
      </w:r>
      <w:r>
        <w:rPr>
          <w:rFonts w:ascii="DeutscheBank" w:hAnsi="DeutscheBank"/>
          <w:color w:val="000000" w:themeColor="text1"/>
          <w:sz w:val="20"/>
          <w:szCs w:val="20"/>
        </w:rPr>
        <w:t>banken</w:t>
      </w:r>
    </w:p>
    <w:p w14:paraId="268AD874" w14:textId="0332A4FB" w:rsidR="004836CD" w:rsidRPr="004836CD" w:rsidRDefault="004836CD" w:rsidP="004836CD">
      <w:pPr>
        <w:spacing w:after="150" w:line="288" w:lineRule="auto"/>
        <w:rPr>
          <w:rFonts w:ascii="DeutscheBank" w:hAnsi="DeutscheBank"/>
          <w:sz w:val="20"/>
          <w:szCs w:val="20"/>
        </w:rPr>
      </w:pPr>
      <w:r w:rsidRPr="004836CD">
        <w:rPr>
          <w:rFonts w:ascii="DeutscheBank" w:hAnsi="DeutscheBank"/>
          <w:sz w:val="20"/>
          <w:szCs w:val="20"/>
        </w:rPr>
        <w:t>60 Prozent der Investoren geben an, dass sie bei Investitionen in Europa die Zusammenarbeit mit einer europäischen Bank bevorzugen würden. Nähe und Substanz zählen dabei mehr als der Preis. Das ist ein struktureller Vorteil für europäische Banken auf ihrem Heimatmarkt.</w:t>
      </w:r>
    </w:p>
    <w:p w14:paraId="379EAB97" w14:textId="3CAAF08B" w:rsidR="004836CD" w:rsidRPr="004836CD" w:rsidRDefault="004836CD" w:rsidP="004836CD">
      <w:pPr>
        <w:spacing w:after="150" w:line="288" w:lineRule="auto"/>
        <w:rPr>
          <w:rFonts w:ascii="DeutscheBank" w:hAnsi="DeutscheBank"/>
          <w:sz w:val="20"/>
          <w:szCs w:val="20"/>
        </w:rPr>
      </w:pPr>
      <w:r w:rsidRPr="004836CD">
        <w:rPr>
          <w:rFonts w:ascii="DeutscheBank" w:hAnsi="DeutscheBank"/>
          <w:sz w:val="20"/>
          <w:szCs w:val="20"/>
        </w:rPr>
        <w:t xml:space="preserve">Die Präferenz ist dort am stärksten ausgeprägt, wo auch das Interesse an Europa am größten ist. Im Nahen Osten liegt sie bei 97 Prozent, in Amerika </w:t>
      </w:r>
      <w:r w:rsidR="66D1C2A8" w:rsidRPr="1D0BEFD2">
        <w:rPr>
          <w:rFonts w:ascii="DeutscheBank" w:hAnsi="DeutscheBank"/>
          <w:sz w:val="20"/>
          <w:szCs w:val="20"/>
        </w:rPr>
        <w:t xml:space="preserve">bei 57 Prozent </w:t>
      </w:r>
      <w:r w:rsidRPr="004836CD">
        <w:rPr>
          <w:rFonts w:ascii="DeutscheBank" w:hAnsi="DeutscheBank"/>
          <w:sz w:val="20"/>
          <w:szCs w:val="20"/>
        </w:rPr>
        <w:t xml:space="preserve">und </w:t>
      </w:r>
      <w:r w:rsidR="66D1C2A8" w:rsidRPr="1D0BEFD2">
        <w:rPr>
          <w:rFonts w:ascii="DeutscheBank" w:hAnsi="DeutscheBank"/>
          <w:sz w:val="20"/>
          <w:szCs w:val="20"/>
        </w:rPr>
        <w:t>in</w:t>
      </w:r>
      <w:r w:rsidRPr="004836CD">
        <w:rPr>
          <w:rFonts w:ascii="DeutscheBank" w:hAnsi="DeutscheBank"/>
          <w:sz w:val="20"/>
          <w:szCs w:val="20"/>
        </w:rPr>
        <w:t xml:space="preserve"> Asien-Pazifik bei </w:t>
      </w:r>
      <w:r w:rsidR="4D4EC265" w:rsidRPr="1D0BEFD2">
        <w:rPr>
          <w:rFonts w:ascii="DeutscheBank" w:hAnsi="DeutscheBank"/>
          <w:sz w:val="20"/>
          <w:szCs w:val="20"/>
        </w:rPr>
        <w:t>49 Prozent</w:t>
      </w:r>
      <w:r w:rsidRPr="1D0BEFD2">
        <w:rPr>
          <w:rFonts w:ascii="DeutscheBank" w:hAnsi="DeutscheBank"/>
          <w:sz w:val="20"/>
          <w:szCs w:val="20"/>
        </w:rPr>
        <w:t>.</w:t>
      </w:r>
      <w:r w:rsidRPr="004836CD">
        <w:rPr>
          <w:rFonts w:ascii="DeutscheBank" w:hAnsi="DeutscheBank"/>
          <w:sz w:val="20"/>
          <w:szCs w:val="20"/>
        </w:rPr>
        <w:t xml:space="preserve"> Über alle Regionen hinweg sind europäische Banken die bevorzugte Wahl.</w:t>
      </w:r>
    </w:p>
    <w:p w14:paraId="4CB0EAA2" w14:textId="3CB1351E" w:rsidR="0008751D" w:rsidRPr="005C2179" w:rsidRDefault="004836CD" w:rsidP="0008751D">
      <w:pPr>
        <w:pStyle w:val="Caption"/>
        <w:rPr>
          <w:rFonts w:ascii="DeutscheBank" w:eastAsia="Arial" w:hAnsi="DeutscheBank" w:cs="Arial"/>
          <w:bCs/>
          <w:iCs w:val="0"/>
          <w:szCs w:val="20"/>
          <w:lang w:val="de-DE" w:eastAsia="de-DE"/>
          <w14:ligatures w14:val="none"/>
        </w:rPr>
      </w:pPr>
      <w:r w:rsidRPr="005C2179">
        <w:rPr>
          <w:rFonts w:ascii="DeutscheBank" w:eastAsia="Arial" w:hAnsi="DeutscheBank" w:cs="Arial"/>
          <w:bCs/>
          <w:iCs w:val="0"/>
          <w:szCs w:val="20"/>
          <w:lang w:val="de-DE" w:eastAsia="de-DE"/>
          <w14:ligatures w14:val="none"/>
        </w:rPr>
        <w:t>Abbildung</w:t>
      </w:r>
      <w:r w:rsidR="0008751D" w:rsidRPr="005C2179">
        <w:rPr>
          <w:rFonts w:ascii="DeutscheBank" w:eastAsia="Arial" w:hAnsi="DeutscheBank" w:cs="Arial"/>
          <w:bCs/>
          <w:iCs w:val="0"/>
          <w:szCs w:val="20"/>
          <w:lang w:val="de-DE" w:eastAsia="de-DE"/>
          <w14:ligatures w14:val="none"/>
        </w:rPr>
        <w:t xml:space="preserve"> 2</w:t>
      </w:r>
      <w:r w:rsidR="00EB3A85">
        <w:rPr>
          <w:rFonts w:ascii="DeutscheBank" w:eastAsia="Arial" w:hAnsi="DeutscheBank" w:cs="Arial"/>
          <w:bCs/>
          <w:iCs w:val="0"/>
          <w:szCs w:val="20"/>
          <w:lang w:val="de-DE" w:eastAsia="de-DE"/>
          <w14:ligatures w14:val="none"/>
        </w:rPr>
        <w:t>0</w:t>
      </w:r>
      <w:r w:rsidR="0008751D" w:rsidRPr="005C2179">
        <w:rPr>
          <w:rFonts w:ascii="DeutscheBank" w:eastAsia="Arial" w:hAnsi="DeutscheBank" w:cs="Arial"/>
          <w:bCs/>
          <w:iCs w:val="0"/>
          <w:szCs w:val="20"/>
          <w:lang w:val="de-DE" w:eastAsia="de-DE"/>
          <w14:ligatures w14:val="none"/>
        </w:rPr>
        <w:t xml:space="preserve">: </w:t>
      </w:r>
      <w:r w:rsidR="005C2179" w:rsidRPr="005C2179">
        <w:rPr>
          <w:rFonts w:ascii="DeutscheBank" w:eastAsia="Arial" w:hAnsi="DeutscheBank" w:cs="Arial"/>
          <w:bCs/>
          <w:iCs w:val="0"/>
          <w:szCs w:val="20"/>
          <w:lang w:val="de-DE" w:eastAsia="de-DE"/>
          <w14:ligatures w14:val="none"/>
        </w:rPr>
        <w:t>Bevorzugte Herkunft des Bankpartners bei Investitionen in Europa</w:t>
      </w:r>
    </w:p>
    <w:p w14:paraId="3A2619C6" w14:textId="1F65B72D" w:rsidR="0008751D" w:rsidRPr="00267E2F" w:rsidRDefault="00FE5EEB" w:rsidP="0008751D">
      <w:pPr>
        <w:pStyle w:val="Copy"/>
        <w:rPr>
          <w:rFonts w:ascii="DeutscheBank" w:hAnsi="DeutscheBank"/>
          <w:szCs w:val="20"/>
          <w:lang w:val="en-GB"/>
        </w:rPr>
      </w:pPr>
      <w:r>
        <w:rPr>
          <w:rFonts w:ascii="DeutscheBank" w:eastAsia="Arial" w:hAnsi="DeutscheBank" w:cs="Arial"/>
          <w:color w:val="222222"/>
          <w:szCs w:val="20"/>
          <w:lang w:val="en-GB" w:eastAsia="de-DE"/>
          <w14:ligatures w14:val="none"/>
        </w:rPr>
        <w:t>(a</w:t>
      </w:r>
      <w:r w:rsidR="0008751D">
        <w:rPr>
          <w:rFonts w:ascii="DeutscheBank" w:eastAsia="Arial" w:hAnsi="DeutscheBank" w:cs="Arial"/>
          <w:color w:val="222222"/>
          <w:szCs w:val="20"/>
          <w:lang w:val="en-GB" w:eastAsia="de-DE"/>
          <w14:ligatures w14:val="none"/>
        </w:rPr>
        <w:t>ll</w:t>
      </w:r>
      <w:r w:rsidR="005C2179">
        <w:rPr>
          <w:rFonts w:ascii="DeutscheBank" w:eastAsia="Arial" w:hAnsi="DeutscheBank" w:cs="Arial"/>
          <w:color w:val="222222"/>
          <w:szCs w:val="20"/>
          <w:lang w:val="en-GB" w:eastAsia="de-DE"/>
          <w14:ligatures w14:val="none"/>
        </w:rPr>
        <w:t xml:space="preserve">e </w:t>
      </w:r>
      <w:proofErr w:type="spellStart"/>
      <w:r w:rsidR="005C2179">
        <w:rPr>
          <w:rFonts w:ascii="DeutscheBank" w:eastAsia="Arial" w:hAnsi="DeutscheBank" w:cs="Arial"/>
          <w:color w:val="222222"/>
          <w:szCs w:val="20"/>
          <w:lang w:val="en-GB" w:eastAsia="de-DE"/>
          <w14:ligatures w14:val="none"/>
        </w:rPr>
        <w:t>Befragte</w:t>
      </w:r>
      <w:r w:rsidR="00061510">
        <w:rPr>
          <w:rFonts w:ascii="DeutscheBank" w:eastAsia="Arial" w:hAnsi="DeutscheBank" w:cs="Arial"/>
          <w:color w:val="222222"/>
          <w:szCs w:val="20"/>
          <w:lang w:val="en-GB" w:eastAsia="de-DE"/>
          <w14:ligatures w14:val="none"/>
        </w:rPr>
        <w:t>n</w:t>
      </w:r>
      <w:proofErr w:type="spellEnd"/>
      <w:r>
        <w:rPr>
          <w:rFonts w:ascii="DeutscheBank" w:eastAsia="Arial" w:hAnsi="DeutscheBank" w:cs="Arial"/>
          <w:color w:val="222222"/>
          <w:szCs w:val="20"/>
          <w:lang w:val="en-GB" w:eastAsia="de-DE"/>
          <w14:ligatures w14:val="none"/>
        </w:rPr>
        <w:t>)</w:t>
      </w:r>
    </w:p>
    <w:p w14:paraId="327591C5" w14:textId="39287943" w:rsidR="00AE7032" w:rsidRPr="00AE7032" w:rsidRDefault="00AE7032" w:rsidP="00AE7032">
      <w:pPr>
        <w:keepNext/>
        <w:spacing w:before="140" w:after="40"/>
        <w:jc w:val="center"/>
        <w:rPr>
          <w:rFonts w:ascii="DeutscheBank" w:hAnsi="DeutscheBank"/>
        </w:rPr>
      </w:pPr>
      <w:r>
        <w:rPr>
          <w:noProof/>
        </w:rPr>
        <w:drawing>
          <wp:inline distT="0" distB="0" distL="0" distR="0" wp14:anchorId="77AFE874" wp14:editId="4D97877C">
            <wp:extent cx="4198620" cy="2656071"/>
            <wp:effectExtent l="0" t="0" r="0" b="0"/>
            <wp:docPr id="1930864582" name="Grafik 52" descr="Balkendiagramm zur bevorzugten Herkunftsregion von Banken bei Investitionen in Europa: Europäische Bank 60 %, Asiatische Bank 24 %, US-amerikanische Bank 11 %, keine Präferenz 6 %.  &#10;Dunkelblaue Balken markieren konkrete Präferenzen, hellgrauer Balken fehlende Präferenz; europäische Banken erreichen klar höchsten Ant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864582" name="Grafik 52" descr="Balkendiagramm zur bevorzugten Herkunftsregion von Banken bei Investitionen in Europa: Europäische Bank 60 %, Asiatische Bank 24 %, US-amerikanische Bank 11 %, keine Präferenz 6 %.  &#10;Dunkelblaue Balken markieren konkrete Präferenzen, hellgrauer Balken fehlende Präferenz; europäische Banken erreichen klar höchsten Antei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11762" cy="2664385"/>
                    </a:xfrm>
                    <a:prstGeom prst="rect">
                      <a:avLst/>
                    </a:prstGeom>
                    <a:noFill/>
                    <a:ln>
                      <a:noFill/>
                    </a:ln>
                  </pic:spPr>
                </pic:pic>
              </a:graphicData>
            </a:graphic>
          </wp:inline>
        </w:drawing>
      </w:r>
    </w:p>
    <w:p w14:paraId="62B7A15C" w14:textId="1D493634" w:rsidR="0008751D" w:rsidRPr="001E5405" w:rsidRDefault="0008751D" w:rsidP="0008751D">
      <w:pPr>
        <w:keepNext/>
        <w:spacing w:before="140" w:after="40"/>
        <w:jc w:val="center"/>
        <w:rPr>
          <w:rFonts w:ascii="DeutscheBank" w:hAnsi="DeutscheBank"/>
        </w:rPr>
      </w:pPr>
    </w:p>
    <w:p w14:paraId="3B7D7CBD" w14:textId="77777777" w:rsidR="005C2179" w:rsidRDefault="005C2179" w:rsidP="005C2179">
      <w:pPr>
        <w:spacing w:after="180"/>
        <w:jc w:val="both"/>
        <w:rPr>
          <w:rFonts w:ascii="DeutscheBank" w:hAnsi="DeutscheBank"/>
          <w:color w:val="000000" w:themeColor="text1"/>
          <w:sz w:val="16"/>
          <w:szCs w:val="16"/>
          <w:lang w:val="en-US"/>
        </w:rPr>
      </w:pPr>
      <w:r>
        <w:rPr>
          <w:rFonts w:ascii="DeutscheBank" w:hAnsi="DeutscheBank"/>
          <w:b/>
          <w:bCs/>
          <w:color w:val="000000" w:themeColor="text1"/>
          <w:sz w:val="16"/>
          <w:szCs w:val="16"/>
          <w:lang w:val="en-GB"/>
        </w:rPr>
        <w:t>Quelle</w:t>
      </w:r>
      <w:r w:rsidRPr="000B0F05">
        <w:rPr>
          <w:rFonts w:ascii="DeutscheBank" w:hAnsi="DeutscheBank"/>
          <w:b/>
          <w:bCs/>
          <w:color w:val="000000" w:themeColor="text1"/>
          <w:sz w:val="16"/>
          <w:szCs w:val="16"/>
          <w:lang w:val="en-GB"/>
        </w:rPr>
        <w:t xml:space="preserve">: </w:t>
      </w:r>
      <w:r w:rsidRPr="000B0F05">
        <w:rPr>
          <w:rFonts w:ascii="DeutscheBank" w:hAnsi="DeutscheBank"/>
          <w:color w:val="000000" w:themeColor="text1"/>
          <w:sz w:val="16"/>
          <w:szCs w:val="16"/>
          <w:lang w:val="en-GB"/>
        </w:rPr>
        <w:t xml:space="preserve">Global Sentiment Survey on Europe 2026, B2B online </w:t>
      </w:r>
      <w:r>
        <w:rPr>
          <w:rFonts w:ascii="DeutscheBank" w:hAnsi="DeutscheBank"/>
          <w:color w:val="000000" w:themeColor="text1"/>
          <w:sz w:val="16"/>
          <w:szCs w:val="16"/>
          <w:lang w:val="en-GB"/>
        </w:rPr>
        <w:t>Studie</w:t>
      </w:r>
      <w:r w:rsidRPr="000B0F05">
        <w:rPr>
          <w:rFonts w:ascii="DeutscheBank" w:hAnsi="DeutscheBank"/>
          <w:color w:val="000000" w:themeColor="text1"/>
          <w:sz w:val="16"/>
          <w:szCs w:val="16"/>
          <w:lang w:val="en-GB"/>
        </w:rPr>
        <w:t xml:space="preserve">. </w:t>
      </w:r>
      <w:r w:rsidRPr="00205A18">
        <w:rPr>
          <w:rFonts w:ascii="DeutscheBank" w:hAnsi="DeutscheBank"/>
          <w:color w:val="000000" w:themeColor="text1"/>
          <w:sz w:val="16"/>
          <w:szCs w:val="16"/>
          <w:lang w:val="en-US"/>
        </w:rPr>
        <w:t>Basis</w:t>
      </w:r>
      <w:r w:rsidRPr="00205A18">
        <w:rPr>
          <w:rFonts w:ascii="DeutscheBank" w:hAnsi="DeutscheBank"/>
          <w:b/>
          <w:bCs/>
          <w:color w:val="000000" w:themeColor="text1"/>
          <w:sz w:val="16"/>
          <w:szCs w:val="16"/>
          <w:lang w:val="en-US"/>
        </w:rPr>
        <w:t>:</w:t>
      </w:r>
      <w:r w:rsidRPr="00205A18">
        <w:rPr>
          <w:rFonts w:ascii="DeutscheBank" w:hAnsi="DeutscheBank"/>
          <w:color w:val="000000" w:themeColor="text1"/>
          <w:sz w:val="16"/>
          <w:szCs w:val="16"/>
          <w:lang w:val="en-US"/>
        </w:rPr>
        <w:t xml:space="preserve"> n = 1,200</w:t>
      </w:r>
    </w:p>
    <w:p w14:paraId="1ED1A273" w14:textId="77777777" w:rsidR="00EE4D13" w:rsidRDefault="00EE4D13" w:rsidP="0008751D">
      <w:pPr>
        <w:spacing w:after="180"/>
        <w:jc w:val="both"/>
        <w:rPr>
          <w:rFonts w:ascii="DeutscheBank" w:hAnsi="DeutscheBank"/>
          <w:color w:val="000000" w:themeColor="text1"/>
          <w:sz w:val="16"/>
          <w:szCs w:val="16"/>
          <w:lang w:val="en-GB"/>
        </w:rPr>
      </w:pPr>
    </w:p>
    <w:p w14:paraId="1F6FE8EE" w14:textId="1AA5AE7D" w:rsidR="0008751D" w:rsidRPr="000E3D12" w:rsidRDefault="00ED7B99" w:rsidP="2EAC6EF2">
      <w:pPr>
        <w:pStyle w:val="Heading2"/>
        <w:jc w:val="both"/>
        <w:rPr>
          <w:rFonts w:ascii="DeutscheBank" w:hAnsi="DeutscheBank"/>
          <w:color w:val="auto"/>
          <w:sz w:val="20"/>
          <w:szCs w:val="20"/>
        </w:rPr>
      </w:pPr>
      <w:r w:rsidRPr="000E3D12">
        <w:rPr>
          <w:rFonts w:ascii="DeutscheBank" w:hAnsi="DeutscheBank"/>
          <w:color w:val="auto"/>
          <w:sz w:val="20"/>
          <w:szCs w:val="20"/>
        </w:rPr>
        <w:lastRenderedPageBreak/>
        <w:t>Finanzielle Stärke, Expertise und lokale Marktkenntnis sind entscheidend</w:t>
      </w:r>
    </w:p>
    <w:p w14:paraId="42A84834" w14:textId="20FEF702" w:rsidR="00673285" w:rsidRPr="00673285" w:rsidRDefault="00673285" w:rsidP="00673285">
      <w:pPr>
        <w:spacing w:after="150" w:line="288" w:lineRule="auto"/>
        <w:rPr>
          <w:rFonts w:ascii="DeutscheBank" w:hAnsi="DeutscheBank"/>
          <w:sz w:val="20"/>
          <w:szCs w:val="20"/>
        </w:rPr>
      </w:pPr>
      <w:r w:rsidRPr="00673285">
        <w:rPr>
          <w:rFonts w:ascii="DeutscheBank" w:hAnsi="DeutscheBank"/>
          <w:sz w:val="20"/>
          <w:szCs w:val="20"/>
        </w:rPr>
        <w:t xml:space="preserve">Die Vergabe eines Mandats wird vor allem durch Vertrauen und Leistungsfähigkeit bestimmt. Die bevorzugte Bank </w:t>
      </w:r>
      <w:r w:rsidR="064D83AE" w:rsidRPr="743DEF6E">
        <w:rPr>
          <w:rFonts w:ascii="DeutscheBank" w:hAnsi="DeutscheBank"/>
          <w:sz w:val="20"/>
          <w:szCs w:val="20"/>
        </w:rPr>
        <w:t xml:space="preserve">benötigt </w:t>
      </w:r>
      <w:r w:rsidRPr="743DEF6E">
        <w:rPr>
          <w:rFonts w:ascii="DeutscheBank" w:hAnsi="DeutscheBank"/>
          <w:sz w:val="20"/>
          <w:szCs w:val="20"/>
        </w:rPr>
        <w:t>finanzielle</w:t>
      </w:r>
      <w:r w:rsidRPr="00673285">
        <w:rPr>
          <w:rFonts w:ascii="DeutscheBank" w:hAnsi="DeutscheBank"/>
          <w:sz w:val="20"/>
          <w:szCs w:val="20"/>
        </w:rPr>
        <w:t xml:space="preserve"> Stärke (37 Prozent), starke Risiko- und Compliance-Kompetenz (36 Prozent) sowie lokale Markt- und Regulierungsexpertise (33 Prozent). Dahinter folgt die Qualität der digitalen Banking-Plattform (31 Prozent). </w:t>
      </w:r>
      <w:r w:rsidR="6F4DBB22" w:rsidRPr="47942481">
        <w:rPr>
          <w:rFonts w:ascii="DeutscheBank" w:hAnsi="DeutscheBank"/>
          <w:sz w:val="20"/>
          <w:szCs w:val="20"/>
        </w:rPr>
        <w:t>Eine</w:t>
      </w:r>
      <w:r w:rsidRPr="00673285" w:rsidDel="00772BED">
        <w:rPr>
          <w:rFonts w:ascii="DeutscheBank" w:hAnsi="DeutscheBank"/>
          <w:sz w:val="20"/>
          <w:szCs w:val="20"/>
        </w:rPr>
        <w:t xml:space="preserve"> </w:t>
      </w:r>
      <w:r w:rsidR="00772BED">
        <w:rPr>
          <w:rFonts w:ascii="DeutscheBank" w:hAnsi="DeutscheBank"/>
          <w:sz w:val="20"/>
          <w:szCs w:val="20"/>
        </w:rPr>
        <w:t>breite</w:t>
      </w:r>
      <w:r w:rsidRPr="00673285">
        <w:rPr>
          <w:rFonts w:ascii="DeutscheBank" w:hAnsi="DeutscheBank"/>
          <w:sz w:val="20"/>
          <w:szCs w:val="20"/>
        </w:rPr>
        <w:t xml:space="preserve"> europäische Präsenz und umfassende Produktkompetenz folgen auf den nächsten Plätzen, während wettbewerbsfähige Preise (26 Prozent) und eine bereits bestehende Bankbeziehung (19 Prozent) weiter unten auf der Liste stehen.</w:t>
      </w:r>
    </w:p>
    <w:p w14:paraId="11E8F501" w14:textId="1BBDBFC6" w:rsidR="0008751D" w:rsidRPr="000E3D12" w:rsidRDefault="00673285" w:rsidP="2EAC6EF2">
      <w:pPr>
        <w:spacing w:after="150" w:line="288" w:lineRule="auto"/>
        <w:rPr>
          <w:rFonts w:ascii="DeutscheBank" w:hAnsi="DeutscheBank"/>
          <w:sz w:val="20"/>
          <w:szCs w:val="20"/>
        </w:rPr>
      </w:pPr>
      <w:r w:rsidRPr="000E3D12">
        <w:rPr>
          <w:rFonts w:ascii="DeutscheBank" w:hAnsi="DeutscheBank"/>
          <w:sz w:val="20"/>
          <w:szCs w:val="20"/>
        </w:rPr>
        <w:t>Diese Reihenfolge verdient besondere Beachtung. Ein wettbewerbsfähiger Preis ist stets relevant, und wirtschaftlicher Nutzen ist letztlich Teil jeder Entscheidung. Bei der Wahl einer Bank nennen Investoren jedoch andere Faktoren zuerst: Vertrauen, Expertise und die Fähigkeit zu</w:t>
      </w:r>
      <w:r w:rsidR="30C09455" w:rsidRPr="25379245">
        <w:rPr>
          <w:rFonts w:ascii="DeutscheBank" w:hAnsi="DeutscheBank"/>
          <w:sz w:val="20"/>
          <w:szCs w:val="20"/>
        </w:rPr>
        <w:t>m</w:t>
      </w:r>
      <w:r w:rsidRPr="000E3D12">
        <w:rPr>
          <w:rFonts w:ascii="DeutscheBank" w:hAnsi="DeutscheBank"/>
          <w:sz w:val="20"/>
          <w:szCs w:val="20"/>
        </w:rPr>
        <w:t xml:space="preserve"> </w:t>
      </w:r>
      <w:r w:rsidRPr="39AC1238">
        <w:rPr>
          <w:rFonts w:ascii="DeutscheBank" w:hAnsi="DeutscheBank"/>
          <w:sz w:val="20"/>
          <w:szCs w:val="20"/>
        </w:rPr>
        <w:t>Umsetz</w:t>
      </w:r>
      <w:r w:rsidR="0E2BD9F8" w:rsidRPr="39AC1238">
        <w:rPr>
          <w:rFonts w:ascii="DeutscheBank" w:hAnsi="DeutscheBank"/>
          <w:sz w:val="20"/>
          <w:szCs w:val="20"/>
        </w:rPr>
        <w:t>en</w:t>
      </w:r>
      <w:r w:rsidRPr="39AC1238">
        <w:rPr>
          <w:rFonts w:ascii="DeutscheBank" w:hAnsi="DeutscheBank"/>
          <w:sz w:val="20"/>
          <w:szCs w:val="20"/>
        </w:rPr>
        <w:t>.</w:t>
      </w:r>
      <w:r w:rsidRPr="000E3D12">
        <w:rPr>
          <w:rFonts w:ascii="DeutscheBank" w:hAnsi="DeutscheBank"/>
          <w:sz w:val="20"/>
          <w:szCs w:val="20"/>
        </w:rPr>
        <w:t xml:space="preserve"> Genau in diesen Bereichen liegen die Stärken etablierter europäischer Banken. </w:t>
      </w:r>
      <w:r w:rsidR="020C81AE" w:rsidRPr="34924AA8">
        <w:rPr>
          <w:rFonts w:ascii="DeutscheBank" w:hAnsi="DeutscheBank"/>
          <w:sz w:val="20"/>
          <w:szCs w:val="20"/>
        </w:rPr>
        <w:t xml:space="preserve">Daraus ergibt sich </w:t>
      </w:r>
      <w:r w:rsidRPr="34924AA8">
        <w:rPr>
          <w:rFonts w:ascii="DeutscheBank" w:hAnsi="DeutscheBank"/>
          <w:sz w:val="20"/>
          <w:szCs w:val="20"/>
        </w:rPr>
        <w:t>eine</w:t>
      </w:r>
      <w:r w:rsidRPr="000E3D12">
        <w:rPr>
          <w:rFonts w:ascii="DeutscheBank" w:hAnsi="DeutscheBank"/>
          <w:sz w:val="20"/>
          <w:szCs w:val="20"/>
        </w:rPr>
        <w:t xml:space="preserve"> klare Chance, das Vertrauen internationaler Investoren in Europa in langfristige Kundenbeziehungen </w:t>
      </w:r>
      <w:r w:rsidR="5B3BA09E" w:rsidRPr="0D245DD2">
        <w:rPr>
          <w:rFonts w:ascii="DeutscheBank" w:hAnsi="DeutscheBank"/>
          <w:sz w:val="20"/>
          <w:szCs w:val="20"/>
        </w:rPr>
        <w:t>umzuwandeln</w:t>
      </w:r>
      <w:r w:rsidR="0008751D" w:rsidRPr="0D245DD2">
        <w:rPr>
          <w:rFonts w:ascii="DeutscheBank" w:hAnsi="DeutscheBank"/>
          <w:sz w:val="20"/>
          <w:szCs w:val="20"/>
        </w:rPr>
        <w:t>.</w:t>
      </w:r>
    </w:p>
    <w:p w14:paraId="310BE927" w14:textId="3A02FDCB" w:rsidR="0008751D" w:rsidRPr="00951A53" w:rsidRDefault="00673285" w:rsidP="0008751D">
      <w:pPr>
        <w:pStyle w:val="Caption"/>
        <w:rPr>
          <w:rFonts w:ascii="DeutscheBank" w:eastAsia="Arial" w:hAnsi="DeutscheBank" w:cs="Arial"/>
          <w:bCs/>
          <w:iCs w:val="0"/>
          <w:szCs w:val="20"/>
          <w:lang w:val="de-DE" w:eastAsia="de-DE"/>
          <w14:ligatures w14:val="none"/>
        </w:rPr>
      </w:pPr>
      <w:r w:rsidRPr="00951A53">
        <w:rPr>
          <w:rFonts w:ascii="DeutscheBank" w:eastAsia="Arial" w:hAnsi="DeutscheBank" w:cs="Arial"/>
          <w:bCs/>
          <w:iCs w:val="0"/>
          <w:szCs w:val="20"/>
          <w:lang w:val="de-DE" w:eastAsia="de-DE"/>
          <w14:ligatures w14:val="none"/>
        </w:rPr>
        <w:t xml:space="preserve">Abbildung </w:t>
      </w:r>
      <w:r w:rsidR="0008751D" w:rsidRPr="00951A53">
        <w:rPr>
          <w:rFonts w:ascii="DeutscheBank" w:eastAsia="Arial" w:hAnsi="DeutscheBank" w:cs="Arial"/>
          <w:bCs/>
          <w:iCs w:val="0"/>
          <w:szCs w:val="20"/>
          <w:lang w:val="de-DE" w:eastAsia="de-DE"/>
          <w14:ligatures w14:val="none"/>
        </w:rPr>
        <w:t>2</w:t>
      </w:r>
      <w:r w:rsidR="00EB3A85">
        <w:rPr>
          <w:rFonts w:ascii="DeutscheBank" w:eastAsia="Arial" w:hAnsi="DeutscheBank" w:cs="Arial"/>
          <w:bCs/>
          <w:iCs w:val="0"/>
          <w:szCs w:val="20"/>
          <w:lang w:val="de-DE" w:eastAsia="de-DE"/>
          <w14:ligatures w14:val="none"/>
        </w:rPr>
        <w:t>1</w:t>
      </w:r>
      <w:r w:rsidR="0008751D" w:rsidRPr="00951A53">
        <w:rPr>
          <w:rFonts w:ascii="DeutscheBank" w:eastAsia="Arial" w:hAnsi="DeutscheBank" w:cs="Arial"/>
          <w:bCs/>
          <w:iCs w:val="0"/>
          <w:szCs w:val="20"/>
          <w:lang w:val="de-DE" w:eastAsia="de-DE"/>
          <w14:ligatures w14:val="none"/>
        </w:rPr>
        <w:t xml:space="preserve">: </w:t>
      </w:r>
      <w:r w:rsidR="00951A53" w:rsidRPr="00951A53">
        <w:rPr>
          <w:rFonts w:ascii="DeutscheBank" w:eastAsia="Arial" w:hAnsi="DeutscheBank" w:cs="Arial"/>
          <w:bCs/>
          <w:iCs w:val="0"/>
          <w:szCs w:val="20"/>
          <w:lang w:val="de-DE" w:eastAsia="de-DE"/>
          <w14:ligatures w14:val="none"/>
        </w:rPr>
        <w:t xml:space="preserve">Die wichtigsten Kriterien bei der Wahl eines Bankpartners für Europa </w:t>
      </w:r>
    </w:p>
    <w:p w14:paraId="30FC4314" w14:textId="1C310421" w:rsidR="0008751D" w:rsidRPr="00951A53" w:rsidRDefault="0008751D" w:rsidP="0008751D">
      <w:pPr>
        <w:pStyle w:val="Copy"/>
        <w:rPr>
          <w:rFonts w:ascii="DeutscheBank" w:hAnsi="DeutscheBank"/>
          <w:szCs w:val="20"/>
          <w:lang w:val="de-DE"/>
        </w:rPr>
      </w:pPr>
      <w:r w:rsidRPr="00951A53">
        <w:rPr>
          <w:rFonts w:ascii="DeutscheBank" w:eastAsia="Arial" w:hAnsi="DeutscheBank" w:cs="Arial"/>
          <w:color w:val="222222"/>
          <w:szCs w:val="20"/>
          <w:lang w:val="de-DE" w:eastAsia="de-DE"/>
          <w14:ligatures w14:val="none"/>
        </w:rPr>
        <w:t>(all</w:t>
      </w:r>
      <w:r w:rsidR="00951A53" w:rsidRPr="00951A53">
        <w:rPr>
          <w:rFonts w:ascii="DeutscheBank" w:eastAsia="Arial" w:hAnsi="DeutscheBank" w:cs="Arial"/>
          <w:color w:val="222222"/>
          <w:szCs w:val="20"/>
          <w:lang w:val="de-DE" w:eastAsia="de-DE"/>
          <w14:ligatures w14:val="none"/>
        </w:rPr>
        <w:t>e Befragten</w:t>
      </w:r>
      <w:r w:rsidRPr="00951A53">
        <w:rPr>
          <w:rFonts w:ascii="DeutscheBank" w:eastAsia="Arial" w:hAnsi="DeutscheBank" w:cs="Arial"/>
          <w:color w:val="222222"/>
          <w:szCs w:val="20"/>
          <w:lang w:val="de-DE" w:eastAsia="de-DE"/>
          <w14:ligatures w14:val="none"/>
        </w:rPr>
        <w:t>)</w:t>
      </w:r>
    </w:p>
    <w:p w14:paraId="439C10E2" w14:textId="4F332966" w:rsidR="00AE7032" w:rsidRPr="00AE7032" w:rsidRDefault="00AE7032" w:rsidP="00AE7032">
      <w:pPr>
        <w:keepNext/>
        <w:spacing w:before="140" w:after="40"/>
        <w:jc w:val="center"/>
        <w:rPr>
          <w:rFonts w:ascii="DeutscheBank" w:hAnsi="DeutscheBank"/>
        </w:rPr>
      </w:pPr>
      <w:r w:rsidRPr="00AE7032">
        <w:rPr>
          <w:rFonts w:ascii="DeutscheBank" w:hAnsi="DeutscheBank"/>
          <w:noProof/>
        </w:rPr>
        <w:drawing>
          <wp:inline distT="0" distB="0" distL="0" distR="0" wp14:anchorId="6DBE9662" wp14:editId="662D5306">
            <wp:extent cx="3867150" cy="2774186"/>
            <wp:effectExtent l="0" t="0" r="0" b="7620"/>
            <wp:docPr id="880887825" name="Grafik 54" descr="Horizontales Balkendiagramm zur Bewertung der wichtigsten Kriterien eines Finanzinstituts. Dunkelblaue Balken zeigen Spitzenwerte für finanzielle Stärke (37 %), Risiko- und Compliance-Kompetenz (36 %) sowie lokale Markt- und Regulierungsexpertise (33 %); niedrigster Wert: bereits bestehende Bankbeziehung (19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887825" name="Grafik 54" descr="Horizontales Balkendiagramm zur Bewertung der wichtigsten Kriterien eines Finanzinstituts. Dunkelblaue Balken zeigen Spitzenwerte für finanzielle Stärke (37 %), Risiko- und Compliance-Kompetenz (36 %) sowie lokale Markt- und Regulierungsexpertise (33 %); niedrigster Wert: bereits bestehende Bankbeziehung (19 %).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5952" cy="2780500"/>
                    </a:xfrm>
                    <a:prstGeom prst="rect">
                      <a:avLst/>
                    </a:prstGeom>
                    <a:noFill/>
                    <a:ln>
                      <a:noFill/>
                    </a:ln>
                  </pic:spPr>
                </pic:pic>
              </a:graphicData>
            </a:graphic>
          </wp:inline>
        </w:drawing>
      </w:r>
    </w:p>
    <w:p w14:paraId="58A61BCC" w14:textId="05846C09" w:rsidR="0008751D" w:rsidRPr="001E5405" w:rsidRDefault="0008751D" w:rsidP="0008751D">
      <w:pPr>
        <w:keepNext/>
        <w:spacing w:before="140" w:after="40"/>
        <w:jc w:val="center"/>
        <w:rPr>
          <w:rFonts w:ascii="DeutscheBank" w:hAnsi="DeutscheBank"/>
        </w:rPr>
      </w:pPr>
    </w:p>
    <w:p w14:paraId="29C712C9" w14:textId="77777777" w:rsidR="00951A53" w:rsidRPr="000E3D12" w:rsidRDefault="00951A53" w:rsidP="00951A53">
      <w:pPr>
        <w:spacing w:after="180"/>
        <w:jc w:val="both"/>
        <w:rPr>
          <w:rFonts w:ascii="DeutscheBank" w:hAnsi="DeutscheBank"/>
          <w:color w:val="000000" w:themeColor="text1"/>
          <w:sz w:val="16"/>
          <w:szCs w:val="16"/>
        </w:rPr>
      </w:pPr>
      <w:bookmarkStart w:id="23" w:name="_Toc239842214"/>
      <w:bookmarkStart w:id="24" w:name="_Toc239930552"/>
      <w:r w:rsidRPr="00E6707A">
        <w:rPr>
          <w:rFonts w:ascii="DeutscheBank" w:hAnsi="DeutscheBank"/>
          <w:b/>
          <w:color w:val="000000" w:themeColor="text1"/>
          <w:sz w:val="16"/>
          <w:szCs w:val="16"/>
        </w:rPr>
        <w:t xml:space="preserve">Quelle: </w:t>
      </w:r>
      <w:r w:rsidRPr="00E6707A">
        <w:rPr>
          <w:rFonts w:ascii="DeutscheBank" w:hAnsi="DeutscheBank"/>
          <w:color w:val="000000" w:themeColor="text1"/>
          <w:sz w:val="16"/>
          <w:szCs w:val="16"/>
        </w:rPr>
        <w:t xml:space="preserve">Global Sentiment Survey on Europe 2026, B2B online Studie. </w:t>
      </w:r>
      <w:r w:rsidRPr="000E3D12">
        <w:rPr>
          <w:rFonts w:ascii="DeutscheBank" w:hAnsi="DeutscheBank"/>
          <w:color w:val="000000" w:themeColor="text1"/>
          <w:sz w:val="16"/>
          <w:szCs w:val="16"/>
        </w:rPr>
        <w:t>Basis</w:t>
      </w:r>
      <w:r w:rsidRPr="000E3D12">
        <w:rPr>
          <w:rFonts w:ascii="DeutscheBank" w:hAnsi="DeutscheBank"/>
          <w:b/>
          <w:bCs/>
          <w:color w:val="000000" w:themeColor="text1"/>
          <w:sz w:val="16"/>
          <w:szCs w:val="16"/>
        </w:rPr>
        <w:t>:</w:t>
      </w:r>
      <w:r w:rsidRPr="000E3D12">
        <w:rPr>
          <w:rFonts w:ascii="DeutscheBank" w:hAnsi="DeutscheBank"/>
          <w:color w:val="000000" w:themeColor="text1"/>
          <w:sz w:val="16"/>
          <w:szCs w:val="16"/>
        </w:rPr>
        <w:t xml:space="preserve"> n = 1,200</w:t>
      </w:r>
    </w:p>
    <w:p w14:paraId="506F28B4" w14:textId="71011684" w:rsidR="0008751D" w:rsidRPr="00507C49" w:rsidRDefault="00AD1290" w:rsidP="00AA76E2">
      <w:pPr>
        <w:pStyle w:val="Heading1"/>
        <w:pageBreakBefore/>
        <w:numPr>
          <w:ilvl w:val="0"/>
          <w:numId w:val="0"/>
        </w:numPr>
        <w:ind w:left="432" w:hanging="432"/>
        <w:rPr>
          <w:rFonts w:ascii="DeutscheBank" w:hAnsi="DeutscheBank"/>
          <w:sz w:val="28"/>
          <w:szCs w:val="28"/>
        </w:rPr>
      </w:pPr>
      <w:bookmarkStart w:id="25" w:name="_Toc240632254"/>
      <w:bookmarkEnd w:id="23"/>
      <w:bookmarkEnd w:id="24"/>
      <w:r>
        <w:rPr>
          <w:rFonts w:ascii="DeutscheBank" w:hAnsi="DeutscheBank"/>
          <w:sz w:val="28"/>
          <w:szCs w:val="28"/>
        </w:rPr>
        <w:lastRenderedPageBreak/>
        <w:t xml:space="preserve">Fazit: </w:t>
      </w:r>
      <w:r w:rsidR="00507C49" w:rsidRPr="00507C49">
        <w:rPr>
          <w:rFonts w:ascii="DeutscheBank" w:hAnsi="DeutscheBank"/>
          <w:sz w:val="28"/>
          <w:szCs w:val="28"/>
        </w:rPr>
        <w:t>Bedeutung der Ergebnisse für Europa</w:t>
      </w:r>
      <w:bookmarkEnd w:id="25"/>
      <w:r w:rsidR="00507C49" w:rsidRPr="00507C49">
        <w:rPr>
          <w:rFonts w:ascii="DeutscheBank" w:hAnsi="DeutscheBank"/>
          <w:sz w:val="28"/>
          <w:szCs w:val="28"/>
        </w:rPr>
        <w:t xml:space="preserve"> </w:t>
      </w:r>
    </w:p>
    <w:p w14:paraId="0516F5DF" w14:textId="7C1DBF06" w:rsidR="000D2361" w:rsidRPr="000D2361" w:rsidRDefault="000D2361" w:rsidP="0C6D30AD">
      <w:pPr>
        <w:spacing w:after="150" w:line="288" w:lineRule="auto"/>
      </w:pPr>
      <w:r w:rsidRPr="0C6D30AD">
        <w:rPr>
          <w:rFonts w:ascii="DeutscheBank" w:hAnsi="DeutscheBank"/>
          <w:sz w:val="20"/>
          <w:szCs w:val="20"/>
        </w:rPr>
        <w:t xml:space="preserve">Die Ergebnisse dieses Berichts weisen durchgängig auf eine zentrale Schlussfolgerung hin: Investoren sehen Europa als eine Region der Chancen. </w:t>
      </w:r>
      <w:r w:rsidR="5622859D" w:rsidRPr="0C6D30AD">
        <w:rPr>
          <w:rFonts w:ascii="DeutscheBank" w:hAnsi="DeutscheBank"/>
          <w:sz w:val="20"/>
          <w:szCs w:val="20"/>
        </w:rPr>
        <w:t>Europas</w:t>
      </w:r>
      <w:r w:rsidRPr="0C6D30AD" w:rsidDel="000D2361">
        <w:rPr>
          <w:rFonts w:ascii="DeutscheBank" w:hAnsi="DeutscheBank"/>
          <w:sz w:val="20"/>
          <w:szCs w:val="20"/>
        </w:rPr>
        <w:t xml:space="preserve"> </w:t>
      </w:r>
      <w:r w:rsidRPr="0C6D30AD">
        <w:rPr>
          <w:rFonts w:ascii="DeutscheBank" w:hAnsi="DeutscheBank"/>
          <w:sz w:val="20"/>
          <w:szCs w:val="20"/>
        </w:rPr>
        <w:t xml:space="preserve">Attraktivität steht auf einem breiten Fundament, seine Bedeutung nimmt zu, und das Vertrauen spiegelt sich bereits in Investitionsabsichten wider. </w:t>
      </w:r>
      <w:r w:rsidR="7F6DBAC4" w:rsidRPr="1C6AF2BA">
        <w:rPr>
          <w:rFonts w:ascii="DeutscheBank" w:hAnsi="DeutscheBank"/>
          <w:sz w:val="20"/>
          <w:szCs w:val="20"/>
        </w:rPr>
        <w:t>Jetzt</w:t>
      </w:r>
      <w:r w:rsidR="7F6DBAC4" w:rsidRPr="0C6D30AD">
        <w:rPr>
          <w:rFonts w:ascii="DeutscheBank" w:hAnsi="DeutscheBank"/>
          <w:sz w:val="20"/>
          <w:szCs w:val="20"/>
        </w:rPr>
        <w:t xml:space="preserve"> gilt es, dieses Vertrauen durch eine stärkere Marktintegration, einfachere Regulierung und bessere Rahmenbedingungen für Innovation in konkrete wirtschaftliche Erfolge zu überführen.</w:t>
      </w:r>
    </w:p>
    <w:p w14:paraId="1EE590AF" w14:textId="1F78241B" w:rsidR="000D2361" w:rsidRPr="000D2361" w:rsidRDefault="000D2361" w:rsidP="000D2361">
      <w:pPr>
        <w:spacing w:after="150" w:line="288" w:lineRule="auto"/>
        <w:rPr>
          <w:rFonts w:ascii="DeutscheBank" w:hAnsi="DeutscheBank"/>
          <w:sz w:val="20"/>
          <w:szCs w:val="20"/>
        </w:rPr>
      </w:pPr>
      <w:r w:rsidRPr="000D2361">
        <w:rPr>
          <w:rFonts w:ascii="DeutscheBank" w:hAnsi="DeutscheBank"/>
          <w:sz w:val="20"/>
          <w:szCs w:val="20"/>
        </w:rPr>
        <w:t xml:space="preserve">Die Botschaft der Investoren ist ebenso ermutigend wie handlungsweisend. Europa profitiert bereits von ausgeprägten Stärken, darunter Innovationskraft, Wachstumspotenzial, Resilienz und globale Reichweite. Der Fokus muss nun darauf liegen, die praktischen Hürden abzubauen, die Investitionen nach wie vor bremsen – insbesondere in den Bereichen Kosten, Regulierung, Marktintegration und KI-Governance. Da sich diese Bedenken eher auf </w:t>
      </w:r>
      <w:r w:rsidR="384D4F88" w:rsidRPr="3D1FA9C4">
        <w:rPr>
          <w:rFonts w:ascii="DeutscheBank" w:hAnsi="DeutscheBank"/>
          <w:sz w:val="20"/>
          <w:szCs w:val="20"/>
        </w:rPr>
        <w:t>d</w:t>
      </w:r>
      <w:r w:rsidR="11CE9821" w:rsidRPr="3D1FA9C4">
        <w:rPr>
          <w:rFonts w:ascii="DeutscheBank" w:hAnsi="DeutscheBank"/>
          <w:sz w:val="20"/>
          <w:szCs w:val="20"/>
        </w:rPr>
        <w:t>ie</w:t>
      </w:r>
      <w:r w:rsidRPr="000D2361">
        <w:rPr>
          <w:rFonts w:ascii="DeutscheBank" w:hAnsi="DeutscheBank"/>
          <w:sz w:val="20"/>
          <w:szCs w:val="20"/>
        </w:rPr>
        <w:t xml:space="preserve"> </w:t>
      </w:r>
      <w:r w:rsidR="1681CE29" w:rsidRPr="6E2C54DD">
        <w:rPr>
          <w:rFonts w:ascii="DeutscheBank" w:hAnsi="DeutscheBank"/>
          <w:sz w:val="20"/>
          <w:szCs w:val="20"/>
        </w:rPr>
        <w:t>Rahme</w:t>
      </w:r>
      <w:r w:rsidR="1FC1CC39" w:rsidRPr="6E2C54DD">
        <w:rPr>
          <w:rFonts w:ascii="DeutscheBank" w:hAnsi="DeutscheBank"/>
          <w:sz w:val="20"/>
          <w:szCs w:val="20"/>
        </w:rPr>
        <w:t>n</w:t>
      </w:r>
      <w:r w:rsidR="1681CE29" w:rsidRPr="6E2C54DD">
        <w:rPr>
          <w:rFonts w:ascii="DeutscheBank" w:hAnsi="DeutscheBank"/>
          <w:sz w:val="20"/>
          <w:szCs w:val="20"/>
        </w:rPr>
        <w:t>bedingungen</w:t>
      </w:r>
      <w:r w:rsidRPr="06B83D1D">
        <w:rPr>
          <w:rFonts w:ascii="DeutscheBank" w:hAnsi="DeutscheBank"/>
          <w:sz w:val="20"/>
          <w:szCs w:val="20"/>
        </w:rPr>
        <w:t xml:space="preserve"> </w:t>
      </w:r>
      <w:r w:rsidRPr="000D2361">
        <w:rPr>
          <w:rFonts w:ascii="DeutscheBank" w:hAnsi="DeutscheBank"/>
          <w:sz w:val="20"/>
          <w:szCs w:val="20"/>
        </w:rPr>
        <w:t xml:space="preserve">als auf die grundlegende Attraktivität Europas beziehen, lassen sie sich </w:t>
      </w:r>
      <w:r w:rsidR="282D43AD" w:rsidRPr="3D1FA9C4">
        <w:rPr>
          <w:rFonts w:ascii="DeutscheBank" w:hAnsi="DeutscheBank"/>
          <w:sz w:val="20"/>
          <w:szCs w:val="20"/>
        </w:rPr>
        <w:t>durch entschlossene Reformen</w:t>
      </w:r>
      <w:r w:rsidR="384D4F88" w:rsidRPr="3D1FA9C4">
        <w:rPr>
          <w:rFonts w:ascii="DeutscheBank" w:hAnsi="DeutscheBank"/>
          <w:sz w:val="20"/>
          <w:szCs w:val="20"/>
        </w:rPr>
        <w:t xml:space="preserve"> gezielt angehen.</w:t>
      </w:r>
      <w:r w:rsidRPr="000D2361">
        <w:rPr>
          <w:rFonts w:ascii="DeutscheBank" w:hAnsi="DeutscheBank"/>
          <w:sz w:val="20"/>
          <w:szCs w:val="20"/>
        </w:rPr>
        <w:t xml:space="preserve"> </w:t>
      </w:r>
    </w:p>
    <w:p w14:paraId="29FFE97F" w14:textId="5F0DE989" w:rsidR="000D2361" w:rsidRDefault="207DC22D" w:rsidP="6E2C54DD">
      <w:pPr>
        <w:spacing w:after="150" w:line="288" w:lineRule="auto"/>
      </w:pPr>
      <w:r w:rsidRPr="4D80623E">
        <w:rPr>
          <w:rFonts w:ascii="DeutscheBank" w:hAnsi="DeutscheBank"/>
          <w:sz w:val="20"/>
          <w:szCs w:val="20"/>
        </w:rPr>
        <w:t>Auch f</w:t>
      </w:r>
      <w:r w:rsidR="000D2361" w:rsidRPr="4D80623E">
        <w:rPr>
          <w:rFonts w:ascii="DeutscheBank" w:hAnsi="DeutscheBank"/>
          <w:sz w:val="20"/>
          <w:szCs w:val="20"/>
        </w:rPr>
        <w:t xml:space="preserve">ür europäische Banken ist die Botschaft </w:t>
      </w:r>
      <w:r w:rsidR="7A481E08" w:rsidRPr="4D80623E">
        <w:rPr>
          <w:rFonts w:ascii="DeutscheBank" w:hAnsi="DeutscheBank"/>
          <w:sz w:val="20"/>
          <w:szCs w:val="20"/>
        </w:rPr>
        <w:t>eindeutig.</w:t>
      </w:r>
      <w:r w:rsidR="000D2361" w:rsidRPr="4D80623E">
        <w:rPr>
          <w:rFonts w:ascii="DeutscheBank" w:hAnsi="DeutscheBank"/>
          <w:sz w:val="20"/>
          <w:szCs w:val="20"/>
        </w:rPr>
        <w:t xml:space="preserve"> Internationale Investoren bevorzugen Partner, die finanzielle Stärke, vertrauenswürdige Risiko- und Compliance-Kompetenz sowie fundierte Kenntnisse der lokalen Märkte vereinen. Da diese Faktoren wichtiger sind als der Preis allein, verfügen europäische Banken über einen bedeutenden Wettbewerbsvorteil. </w:t>
      </w:r>
      <w:r w:rsidR="5C13F038" w:rsidRPr="4D80623E">
        <w:rPr>
          <w:rFonts w:ascii="DeutscheBank" w:hAnsi="DeutscheBank"/>
          <w:sz w:val="20"/>
          <w:szCs w:val="20"/>
        </w:rPr>
        <w:t xml:space="preserve"> Der Auftrag</w:t>
      </w:r>
      <w:r w:rsidR="4145D2AF" w:rsidRPr="4D80623E">
        <w:rPr>
          <w:rFonts w:ascii="DeutscheBank" w:hAnsi="DeutscheBank"/>
          <w:sz w:val="20"/>
          <w:szCs w:val="20"/>
        </w:rPr>
        <w:t xml:space="preserve"> an </w:t>
      </w:r>
      <w:r w:rsidR="60727E61" w:rsidRPr="4D80623E">
        <w:rPr>
          <w:rFonts w:ascii="DeutscheBank" w:hAnsi="DeutscheBank"/>
          <w:sz w:val="20"/>
          <w:szCs w:val="20"/>
        </w:rPr>
        <w:t xml:space="preserve">sie </w:t>
      </w:r>
      <w:r w:rsidR="5C13F038" w:rsidRPr="4D80623E">
        <w:rPr>
          <w:rFonts w:ascii="DeutscheBank" w:hAnsi="DeutscheBank"/>
          <w:sz w:val="20"/>
          <w:szCs w:val="20"/>
        </w:rPr>
        <w:t>ist</w:t>
      </w:r>
      <w:r w:rsidR="484B6EB1" w:rsidRPr="4D80623E">
        <w:rPr>
          <w:rFonts w:ascii="DeutscheBank" w:hAnsi="DeutscheBank"/>
          <w:sz w:val="20"/>
          <w:szCs w:val="20"/>
        </w:rPr>
        <w:t xml:space="preserve"> </w:t>
      </w:r>
      <w:r w:rsidR="3BA9802D" w:rsidRPr="4D80623E">
        <w:rPr>
          <w:rFonts w:ascii="DeutscheBank" w:hAnsi="DeutscheBank"/>
          <w:sz w:val="20"/>
          <w:szCs w:val="20"/>
        </w:rPr>
        <w:t xml:space="preserve">damit </w:t>
      </w:r>
      <w:r w:rsidR="5C13F038" w:rsidRPr="4D80623E">
        <w:rPr>
          <w:rFonts w:ascii="DeutscheBank" w:hAnsi="DeutscheBank"/>
          <w:sz w:val="20"/>
          <w:szCs w:val="20"/>
        </w:rPr>
        <w:t xml:space="preserve">klar: </w:t>
      </w:r>
      <w:r w:rsidR="521D2AF9" w:rsidRPr="4D80623E">
        <w:rPr>
          <w:rFonts w:ascii="DeutscheBank" w:hAnsi="DeutscheBank"/>
          <w:sz w:val="20"/>
          <w:szCs w:val="20"/>
        </w:rPr>
        <w:t xml:space="preserve">Sie </w:t>
      </w:r>
      <w:r w:rsidR="5C13F038" w:rsidRPr="4D80623E">
        <w:rPr>
          <w:rFonts w:ascii="DeutscheBank" w:hAnsi="DeutscheBank"/>
          <w:sz w:val="20"/>
          <w:szCs w:val="20"/>
        </w:rPr>
        <w:t>müssen</w:t>
      </w:r>
      <w:r w:rsidR="42069EBF" w:rsidRPr="4D80623E">
        <w:rPr>
          <w:rFonts w:ascii="DeutscheBank" w:hAnsi="DeutscheBank"/>
          <w:sz w:val="20"/>
          <w:szCs w:val="20"/>
        </w:rPr>
        <w:t xml:space="preserve"> Investoren eng begleiten</w:t>
      </w:r>
      <w:r w:rsidR="1E6E4A45" w:rsidRPr="4D80623E">
        <w:rPr>
          <w:rFonts w:ascii="DeutscheBank" w:hAnsi="DeutscheBank"/>
          <w:sz w:val="20"/>
          <w:szCs w:val="20"/>
        </w:rPr>
        <w:t xml:space="preserve"> und beraten</w:t>
      </w:r>
      <w:r w:rsidR="42069EBF" w:rsidRPr="4D80623E">
        <w:rPr>
          <w:rFonts w:ascii="DeutscheBank" w:hAnsi="DeutscheBank"/>
          <w:sz w:val="20"/>
          <w:szCs w:val="20"/>
        </w:rPr>
        <w:t xml:space="preserve">, um </w:t>
      </w:r>
      <w:r w:rsidR="5C13F038" w:rsidRPr="4D80623E">
        <w:rPr>
          <w:rFonts w:ascii="DeutscheBank" w:hAnsi="DeutscheBank"/>
          <w:sz w:val="20"/>
          <w:szCs w:val="20"/>
        </w:rPr>
        <w:t xml:space="preserve">das internationale Interesse an Europa in Investitionen, Wachstum und langfristigen Wohlstand </w:t>
      </w:r>
      <w:r w:rsidR="5DF6D19E" w:rsidRPr="4D80623E">
        <w:rPr>
          <w:rFonts w:ascii="DeutscheBank" w:hAnsi="DeutscheBank"/>
          <w:sz w:val="20"/>
          <w:szCs w:val="20"/>
        </w:rPr>
        <w:t xml:space="preserve">zu </w:t>
      </w:r>
      <w:r w:rsidR="5C13F038" w:rsidRPr="4D80623E">
        <w:rPr>
          <w:rFonts w:ascii="DeutscheBank" w:hAnsi="DeutscheBank"/>
          <w:sz w:val="20"/>
          <w:szCs w:val="20"/>
        </w:rPr>
        <w:t>übe</w:t>
      </w:r>
      <w:r w:rsidR="4AA3BC01" w:rsidRPr="4D80623E">
        <w:rPr>
          <w:rFonts w:ascii="DeutscheBank" w:hAnsi="DeutscheBank"/>
          <w:sz w:val="20"/>
          <w:szCs w:val="20"/>
        </w:rPr>
        <w:t>rführen</w:t>
      </w:r>
      <w:r w:rsidR="2C19CF5E" w:rsidRPr="4D80623E">
        <w:rPr>
          <w:rFonts w:ascii="DeutscheBank" w:hAnsi="DeutscheBank"/>
          <w:sz w:val="20"/>
          <w:szCs w:val="20"/>
        </w:rPr>
        <w:t>.</w:t>
      </w:r>
    </w:p>
    <w:p w14:paraId="18CBE182" w14:textId="79F884C5" w:rsidR="0008751D" w:rsidRPr="000D2361" w:rsidRDefault="0008751D" w:rsidP="00AC08A7">
      <w:pPr>
        <w:spacing w:line="300" w:lineRule="auto"/>
        <w:jc w:val="both"/>
        <w:rPr>
          <w:rFonts w:ascii="Segoe UI" w:eastAsia="Segoe UI" w:hAnsi="Segoe UI" w:cs="Segoe UI"/>
        </w:rPr>
      </w:pPr>
    </w:p>
    <w:sectPr w:rsidR="0008751D" w:rsidRPr="000D2361" w:rsidSect="00DF3CDF">
      <w:headerReference w:type="even" r:id="rId33"/>
      <w:headerReference w:type="default" r:id="rId34"/>
      <w:footerReference w:type="even" r:id="rId35"/>
      <w:footerReference w:type="default" r:id="rId36"/>
      <w:headerReference w:type="first" r:id="rId37"/>
      <w:footerReference w:type="first" r:id="rId38"/>
      <w:pgSz w:w="11906" w:h="16838" w:code="9"/>
      <w:pgMar w:top="1134" w:right="1416" w:bottom="567"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FB036" w14:textId="77777777" w:rsidR="002261ED" w:rsidRDefault="002261ED" w:rsidP="0008243A">
      <w:r>
        <w:separator/>
      </w:r>
    </w:p>
  </w:endnote>
  <w:endnote w:type="continuationSeparator" w:id="0">
    <w:p w14:paraId="023E6725" w14:textId="77777777" w:rsidR="002261ED" w:rsidRDefault="002261ED" w:rsidP="00082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utscheBank">
    <w:altName w:val="Cambria"/>
    <w:panose1 w:val="020B0503020202030204"/>
    <w:charset w:val="00"/>
    <w:family w:val="swiss"/>
    <w:pitch w:val="variable"/>
    <w:sig w:usb0="A00002EF" w:usb1="4000003B" w:usb2="0000002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DeutscheBank Medium">
    <w:panose1 w:val="020B0603020202030204"/>
    <w:charset w:val="00"/>
    <w:family w:val="swiss"/>
    <w:pitch w:val="variable"/>
    <w:sig w:usb0="A00002EF" w:usb1="4000003B" w:usb2="0000002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4F11" w14:textId="3B1B7296" w:rsidR="00791E3F" w:rsidRDefault="00B66B68">
    <w:pPr>
      <w:pStyle w:val="Footer"/>
    </w:pPr>
    <w:r>
      <w:rPr>
        <w:noProof/>
        <w14:ligatures w14:val="standardContextual"/>
      </w:rPr>
      <mc:AlternateContent>
        <mc:Choice Requires="wps">
          <w:drawing>
            <wp:anchor distT="0" distB="0" distL="0" distR="0" simplePos="0" relativeHeight="251658243" behindDoc="0" locked="0" layoutInCell="1" allowOverlap="1" wp14:anchorId="2707B963" wp14:editId="352007DD">
              <wp:simplePos x="635" y="635"/>
              <wp:positionH relativeFrom="page">
                <wp:align>center</wp:align>
              </wp:positionH>
              <wp:positionV relativeFrom="page">
                <wp:align>bottom</wp:align>
              </wp:positionV>
              <wp:extent cx="26035" cy="345440"/>
              <wp:effectExtent l="0" t="0" r="12065" b="0"/>
              <wp:wrapNone/>
              <wp:docPr id="1956177960" name="Textfeld 8" descr="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035" cy="345440"/>
                      </a:xfrm>
                      <a:prstGeom prst="rect">
                        <a:avLst/>
                      </a:prstGeom>
                      <a:noFill/>
                      <a:ln>
                        <a:noFill/>
                      </a:ln>
                    </wps:spPr>
                    <wps:txbx>
                      <w:txbxContent>
                        <w:p w14:paraId="6EB171D3" w14:textId="2868ADF4" w:rsidR="00B66B68" w:rsidRPr="00B66B68" w:rsidRDefault="00B66B68" w:rsidP="00B66B68">
                          <w:pPr>
                            <w:rPr>
                              <w:rFonts w:ascii="Aptos" w:eastAsia="Aptos" w:hAnsi="Aptos" w:cs="Aptos"/>
                              <w:noProof/>
                              <w:color w:val="000000"/>
                              <w:sz w:val="20"/>
                              <w:szCs w:val="20"/>
                            </w:rPr>
                          </w:pPr>
                          <w:r w:rsidRPr="00B66B68">
                            <w:rPr>
                              <w:rFonts w:ascii="Aptos" w:eastAsia="Aptos" w:hAnsi="Aptos" w:cs="Aptos"/>
                              <w:noProof/>
                              <w:color w:val="000000"/>
                              <w:sz w:val="20"/>
                              <w:szCs w:val="20"/>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07B963" id="_x0000_t202" coordsize="21600,21600" o:spt="202" path="m,l,21600r21600,l21600,xe">
              <v:stroke joinstyle="miter"/>
              <v:path gradientshapeok="t" o:connecttype="rect"/>
            </v:shapetype>
            <v:shape id="Textfeld 8" o:spid="_x0000_s1027" type="#_x0000_t202" alt=" " style="position:absolute;margin-left:0;margin-top:0;width:2.05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" filled="f" stroked="f">
              <v:textbox style="mso-fit-shape-to-text:t" inset="0,0,0,15pt">
                <w:txbxContent>
                  <w:p w14:paraId="6EB171D3" w14:textId="2868ADF4" w:rsidR="00B66B68" w:rsidRPr="00B66B68" w:rsidRDefault="00B66B68" w:rsidP="00B66B68">
                    <w:pPr>
                      <w:rPr>
                        <w:rFonts w:ascii="Aptos" w:eastAsia="Aptos" w:hAnsi="Aptos" w:cs="Aptos"/>
                        <w:noProof/>
                        <w:color w:val="000000"/>
                        <w:sz w:val="20"/>
                        <w:szCs w:val="20"/>
                      </w:rPr>
                    </w:pPr>
                    <w:r w:rsidRPr="00B66B68">
                      <w:rPr>
                        <w:rFonts w:ascii="Aptos" w:eastAsia="Aptos" w:hAnsi="Aptos" w:cs="Aptos"/>
                        <w:noProof/>
                        <w:color w:val="000000"/>
                        <w:sz w:val="20"/>
                        <w:szCs w:val="20"/>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42FA1" w14:textId="623B7ECD" w:rsidR="00D02FA5" w:rsidRPr="0008243A" w:rsidRDefault="00B66B68" w:rsidP="00612964">
    <w:pPr>
      <w:pStyle w:val="Footer"/>
    </w:pPr>
    <w:r>
      <w:rPr>
        <w:noProof/>
        <w14:ligatures w14:val="standardContextual"/>
      </w:rPr>
      <mc:AlternateContent>
        <mc:Choice Requires="wps">
          <w:drawing>
            <wp:anchor distT="0" distB="0" distL="0" distR="0" simplePos="0" relativeHeight="251658244" behindDoc="0" locked="0" layoutInCell="1" allowOverlap="1" wp14:anchorId="1F7C70E4" wp14:editId="2B0DCDDE">
              <wp:simplePos x="904875" y="10229850"/>
              <wp:positionH relativeFrom="page">
                <wp:align>center</wp:align>
              </wp:positionH>
              <wp:positionV relativeFrom="page">
                <wp:align>bottom</wp:align>
              </wp:positionV>
              <wp:extent cx="26035" cy="345440"/>
              <wp:effectExtent l="0" t="0" r="12065" b="0"/>
              <wp:wrapNone/>
              <wp:docPr id="1992022343" name="Textfeld 9" descr="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035" cy="345440"/>
                      </a:xfrm>
                      <a:prstGeom prst="rect">
                        <a:avLst/>
                      </a:prstGeom>
                      <a:noFill/>
                      <a:ln>
                        <a:noFill/>
                      </a:ln>
                    </wps:spPr>
                    <wps:txbx>
                      <w:txbxContent>
                        <w:p w14:paraId="5C5037AB" w14:textId="0C74890B" w:rsidR="00B66B68" w:rsidRPr="00B66B68" w:rsidRDefault="00B66B68" w:rsidP="00B66B68">
                          <w:pPr>
                            <w:rPr>
                              <w:rFonts w:ascii="Aptos" w:eastAsia="Aptos" w:hAnsi="Aptos" w:cs="Aptos"/>
                              <w:noProof/>
                              <w:color w:val="000000"/>
                              <w:sz w:val="20"/>
                              <w:szCs w:val="20"/>
                            </w:rPr>
                          </w:pPr>
                          <w:r w:rsidRPr="00B66B68">
                            <w:rPr>
                              <w:rFonts w:ascii="Aptos" w:eastAsia="Aptos" w:hAnsi="Aptos" w:cs="Aptos"/>
                              <w:noProof/>
                              <w:color w:val="000000"/>
                              <w:sz w:val="20"/>
                              <w:szCs w:val="20"/>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7C70E4" id="_x0000_t202" coordsize="21600,21600" o:spt="202" path="m,l,21600r21600,l21600,xe">
              <v:stroke joinstyle="miter"/>
              <v:path gradientshapeok="t" o:connecttype="rect"/>
            </v:shapetype>
            <v:shape id="Textfeld 9" o:spid="_x0000_s1028" type="#_x0000_t202" alt=" " style="position:absolute;margin-left:0;margin-top:0;width:2.05pt;height:27.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" filled="f" stroked="f">
              <v:textbox style="mso-fit-shape-to-text:t" inset="0,0,0,15pt">
                <w:txbxContent>
                  <w:p w14:paraId="5C5037AB" w14:textId="0C74890B" w:rsidR="00B66B68" w:rsidRPr="00B66B68" w:rsidRDefault="00B66B68" w:rsidP="00B66B68">
                    <w:pPr>
                      <w:rPr>
                        <w:rFonts w:ascii="Aptos" w:eastAsia="Aptos" w:hAnsi="Aptos" w:cs="Aptos"/>
                        <w:noProof/>
                        <w:color w:val="000000"/>
                        <w:sz w:val="20"/>
                        <w:szCs w:val="20"/>
                      </w:rPr>
                    </w:pPr>
                    <w:r w:rsidRPr="00B66B68">
                      <w:rPr>
                        <w:rFonts w:ascii="Aptos" w:eastAsia="Aptos" w:hAnsi="Aptos" w:cs="Aptos"/>
                        <w:noProof/>
                        <w:color w:val="000000"/>
                        <w:sz w:val="20"/>
                        <w:szCs w:val="20"/>
                      </w:rPr>
                      <w:t xml:space="preserve"> </w:t>
                    </w:r>
                  </w:p>
                </w:txbxContent>
              </v:textbox>
              <w10:wrap anchorx="page" anchory="page"/>
            </v:shape>
          </w:pict>
        </mc:Fallback>
      </mc:AlternateContent>
    </w:r>
  </w:p>
  <w:p w14:paraId="2A801977" w14:textId="0419CEEC" w:rsidR="00D02FA5" w:rsidRDefault="00ED238C" w:rsidP="00612964">
    <w:pPr>
      <w:pStyle w:val="Footer"/>
    </w:pPr>
    <w:r>
      <w:t>Seite</w:t>
    </w:r>
    <w:r w:rsidR="00D02FA5" w:rsidRPr="0008243A">
      <w:t xml:space="preserve"> </w:t>
    </w:r>
    <w:r w:rsidR="00D02FA5" w:rsidRPr="0008243A">
      <w:fldChar w:fldCharType="begin"/>
    </w:r>
    <w:r w:rsidR="00D02FA5" w:rsidRPr="0008243A">
      <w:instrText>PAGE   \* MERGEFORMAT</w:instrText>
    </w:r>
    <w:r w:rsidR="00D02FA5" w:rsidRPr="0008243A">
      <w:fldChar w:fldCharType="separate"/>
    </w:r>
    <w:r w:rsidR="00D02FA5">
      <w:t>1</w:t>
    </w:r>
    <w:r w:rsidR="00D02FA5" w:rsidRPr="000824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E9BF5" w14:textId="1C6B5CF6" w:rsidR="0008243A" w:rsidRPr="0008243A" w:rsidRDefault="00B66B68" w:rsidP="00612964">
    <w:pPr>
      <w:pStyle w:val="Footer"/>
    </w:pPr>
    <w:r>
      <w:rPr>
        <w:noProof/>
        <w14:ligatures w14:val="standardContextual"/>
      </w:rPr>
      <mc:AlternateContent>
        <mc:Choice Requires="wps">
          <w:drawing>
            <wp:anchor distT="0" distB="0" distL="0" distR="0" simplePos="0" relativeHeight="251658242" behindDoc="0" locked="0" layoutInCell="1" allowOverlap="1" wp14:anchorId="5DDA02FC" wp14:editId="035E8922">
              <wp:simplePos x="635" y="635"/>
              <wp:positionH relativeFrom="page">
                <wp:align>center</wp:align>
              </wp:positionH>
              <wp:positionV relativeFrom="page">
                <wp:align>bottom</wp:align>
              </wp:positionV>
              <wp:extent cx="26035" cy="345440"/>
              <wp:effectExtent l="0" t="0" r="12065" b="0"/>
              <wp:wrapNone/>
              <wp:docPr id="1322641354" name="Textfeld 7" descr="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035" cy="345440"/>
                      </a:xfrm>
                      <a:prstGeom prst="rect">
                        <a:avLst/>
                      </a:prstGeom>
                      <a:noFill/>
                      <a:ln>
                        <a:noFill/>
                      </a:ln>
                    </wps:spPr>
                    <wps:txbx>
                      <w:txbxContent>
                        <w:p w14:paraId="255D7581" w14:textId="0D719C73" w:rsidR="00B66B68" w:rsidRPr="00B66B68" w:rsidRDefault="00B66B68" w:rsidP="00B66B68">
                          <w:pPr>
                            <w:rPr>
                              <w:rFonts w:ascii="Aptos" w:eastAsia="Aptos" w:hAnsi="Aptos" w:cs="Aptos"/>
                              <w:noProof/>
                              <w:color w:val="000000"/>
                              <w:sz w:val="20"/>
                              <w:szCs w:val="20"/>
                            </w:rPr>
                          </w:pPr>
                          <w:r w:rsidRPr="00B66B68">
                            <w:rPr>
                              <w:rFonts w:ascii="Aptos" w:eastAsia="Aptos" w:hAnsi="Aptos" w:cs="Aptos"/>
                              <w:noProof/>
                              <w:color w:val="000000"/>
                              <w:sz w:val="20"/>
                              <w:szCs w:val="20"/>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DA02FC" id="_x0000_t202" coordsize="21600,21600" o:spt="202" path="m,l,21600r21600,l21600,xe">
              <v:stroke joinstyle="miter"/>
              <v:path gradientshapeok="t" o:connecttype="rect"/>
            </v:shapetype>
            <v:shape id="_x0000_s1029" type="#_x0000_t202" alt=" " style="position:absolute;margin-left:0;margin-top:0;width:2.05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" filled="f" stroked="f">
              <v:textbox style="mso-fit-shape-to-text:t" inset="0,0,0,15pt">
                <w:txbxContent>
                  <w:p w14:paraId="255D7581" w14:textId="0D719C73" w:rsidR="00B66B68" w:rsidRPr="00B66B68" w:rsidRDefault="00B66B68" w:rsidP="00B66B68">
                    <w:pPr>
                      <w:rPr>
                        <w:rFonts w:ascii="Aptos" w:eastAsia="Aptos" w:hAnsi="Aptos" w:cs="Aptos"/>
                        <w:noProof/>
                        <w:color w:val="000000"/>
                        <w:sz w:val="20"/>
                        <w:szCs w:val="20"/>
                      </w:rPr>
                    </w:pPr>
                    <w:r w:rsidRPr="00B66B68">
                      <w:rPr>
                        <w:rFonts w:ascii="Aptos" w:eastAsia="Aptos" w:hAnsi="Aptos" w:cs="Aptos"/>
                        <w:noProof/>
                        <w:color w:val="000000"/>
                        <w:sz w:val="20"/>
                        <w:szCs w:val="20"/>
                      </w:rPr>
                      <w:t xml:space="preserve"> </w:t>
                    </w:r>
                  </w:p>
                </w:txbxContent>
              </v:textbox>
              <w10:wrap anchorx="page" anchory="page"/>
            </v:shape>
          </w:pict>
        </mc:Fallback>
      </mc:AlternateContent>
    </w:r>
  </w:p>
  <w:p w14:paraId="424416FD" w14:textId="6DBE7D70" w:rsidR="0008243A" w:rsidRPr="0008243A" w:rsidRDefault="0008243A" w:rsidP="00612964">
    <w:pPr>
      <w:pStyle w:val="Footer"/>
    </w:pPr>
    <w:r w:rsidRPr="0008243A">
      <w:br/>
    </w:r>
    <w:r w:rsidRPr="0008243A">
      <w:tab/>
    </w:r>
    <w:r w:rsidRPr="0008243A">
      <w:tab/>
      <w:t xml:space="preserve">Seite </w:t>
    </w:r>
    <w:r w:rsidRPr="0008243A">
      <w:fldChar w:fldCharType="begin"/>
    </w:r>
    <w:r w:rsidRPr="0008243A">
      <w:instrText>PAGE   \* MERGEFORMAT</w:instrText>
    </w:r>
    <w:r w:rsidRPr="0008243A">
      <w:fldChar w:fldCharType="separate"/>
    </w:r>
    <w:r w:rsidRPr="0008243A">
      <w:t>1</w:t>
    </w:r>
    <w:r w:rsidRPr="0008243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E757A" w14:textId="77777777" w:rsidR="002261ED" w:rsidRDefault="002261ED" w:rsidP="0008243A">
      <w:r>
        <w:separator/>
      </w:r>
    </w:p>
  </w:footnote>
  <w:footnote w:type="continuationSeparator" w:id="0">
    <w:p w14:paraId="6FCBC2B7" w14:textId="77777777" w:rsidR="002261ED" w:rsidRDefault="002261ED" w:rsidP="00082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1385" w14:textId="77777777" w:rsidR="00E81BA1" w:rsidRDefault="00E81BA1">
    <w:pPr>
      <w:pStyle w:val="Header"/>
    </w:pPr>
  </w:p>
  <w:p w14:paraId="378A481C" w14:textId="77777777" w:rsidR="007A27EC" w:rsidRDefault="007A27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2948" w14:textId="77777777" w:rsidR="0008243A" w:rsidRPr="00350EAC" w:rsidRDefault="0008243A" w:rsidP="00612964">
    <w:pPr>
      <w:pStyle w:val="Identifier"/>
    </w:pPr>
    <w:r w:rsidRPr="004F5A24">
      <mc:AlternateContent>
        <mc:Choice Requires="wps">
          <w:drawing>
            <wp:anchor distT="0" distB="0" distL="114300" distR="114300" simplePos="0" relativeHeight="251658240" behindDoc="0" locked="1" layoutInCell="1" allowOverlap="1" wp14:anchorId="1BE9A65D" wp14:editId="6D9FEFAF">
              <wp:simplePos x="0" y="0"/>
              <wp:positionH relativeFrom="page">
                <wp:posOffset>6661150</wp:posOffset>
              </wp:positionH>
              <wp:positionV relativeFrom="page">
                <wp:posOffset>360045</wp:posOffset>
              </wp:positionV>
              <wp:extent cx="540000" cy="540000"/>
              <wp:effectExtent l="0" t="0" r="0" b="0"/>
              <wp:wrapNone/>
              <wp:docPr id="3" name="Freeform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540000" cy="540000"/>
                      </a:xfrm>
                      <a:custGeom>
                        <a:avLst/>
                        <a:gdLst>
                          <a:gd name="T0" fmla="*/ 505 w 3609"/>
                          <a:gd name="T1" fmla="*/ 505 h 3609"/>
                          <a:gd name="T2" fmla="*/ 505 w 3609"/>
                          <a:gd name="T3" fmla="*/ 3103 h 3609"/>
                          <a:gd name="T4" fmla="*/ 3101 w 3609"/>
                          <a:gd name="T5" fmla="*/ 3103 h 3609"/>
                          <a:gd name="T6" fmla="*/ 3101 w 3609"/>
                          <a:gd name="T7" fmla="*/ 505 h 3609"/>
                          <a:gd name="T8" fmla="*/ 505 w 3609"/>
                          <a:gd name="T9" fmla="*/ 505 h 3609"/>
                          <a:gd name="T10" fmla="*/ 0 w 3609"/>
                          <a:gd name="T11" fmla="*/ 0 h 3609"/>
                          <a:gd name="T12" fmla="*/ 3609 w 3609"/>
                          <a:gd name="T13" fmla="*/ 0 h 3609"/>
                          <a:gd name="T14" fmla="*/ 3609 w 3609"/>
                          <a:gd name="T15" fmla="*/ 3609 h 3609"/>
                          <a:gd name="T16" fmla="*/ 0 w 3609"/>
                          <a:gd name="T17" fmla="*/ 3609 h 3609"/>
                          <a:gd name="T18" fmla="*/ 0 w 3609"/>
                          <a:gd name="T19" fmla="*/ 0 h 3609"/>
                          <a:gd name="T20" fmla="*/ 795 w 3609"/>
                          <a:gd name="T21" fmla="*/ 2745 h 3609"/>
                          <a:gd name="T22" fmla="*/ 2166 w 3609"/>
                          <a:gd name="T23" fmla="*/ 866 h 3609"/>
                          <a:gd name="T24" fmla="*/ 2814 w 3609"/>
                          <a:gd name="T25" fmla="*/ 866 h 3609"/>
                          <a:gd name="T26" fmla="*/ 1443 w 3609"/>
                          <a:gd name="T27" fmla="*/ 2745 h 3609"/>
                          <a:gd name="T28" fmla="*/ 795 w 3609"/>
                          <a:gd name="T29" fmla="*/ 2745 h 3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09" h="3609">
                            <a:moveTo>
                              <a:pt x="505" y="505"/>
                            </a:moveTo>
                            <a:lnTo>
                              <a:pt x="505" y="3103"/>
                            </a:lnTo>
                            <a:lnTo>
                              <a:pt x="3101" y="3103"/>
                            </a:lnTo>
                            <a:lnTo>
                              <a:pt x="3101" y="505"/>
                            </a:lnTo>
                            <a:lnTo>
                              <a:pt x="505" y="505"/>
                            </a:lnTo>
                            <a:close/>
                            <a:moveTo>
                              <a:pt x="0" y="0"/>
                            </a:moveTo>
                            <a:lnTo>
                              <a:pt x="3609" y="0"/>
                            </a:lnTo>
                            <a:lnTo>
                              <a:pt x="3609" y="3609"/>
                            </a:lnTo>
                            <a:lnTo>
                              <a:pt x="0" y="3609"/>
                            </a:lnTo>
                            <a:lnTo>
                              <a:pt x="0" y="0"/>
                            </a:lnTo>
                            <a:close/>
                            <a:moveTo>
                              <a:pt x="795" y="2745"/>
                            </a:moveTo>
                            <a:lnTo>
                              <a:pt x="2166" y="866"/>
                            </a:lnTo>
                            <a:lnTo>
                              <a:pt x="2814" y="866"/>
                            </a:lnTo>
                            <a:lnTo>
                              <a:pt x="1443" y="2745"/>
                            </a:lnTo>
                            <a:lnTo>
                              <a:pt x="795" y="2745"/>
                            </a:lnTo>
                            <a:close/>
                          </a:path>
                        </a:pathLst>
                      </a:custGeom>
                      <a:solidFill>
                        <a:schemeClr val="accent1"/>
                      </a:solidFill>
                      <a:ln>
                        <a:noFill/>
                      </a:ln>
                    </wps:spPr>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dec="http://schemas.microsoft.com/office/drawing/2017/decorative" xmlns:a="http://schemas.openxmlformats.org/drawingml/2006/main">
          <w:pict w14:anchorId="40095DDE">
            <v:shape id="Freeform 31" style="position:absolute;margin-left:524.5pt;margin-top:28.35pt;width:42.5pt;height:42.5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quot;" coordsize="3609,3609" o:spid="_x0000_s1026" fillcolor="#1e2a78 [3204]" stroked="f" path="m505,505r,2598l3101,3103r,-2598l505,505xm,l3609,r,3609l,3609,,xm795,2745l2166,866r648,l1443,2745r-6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" w14:anchorId="14057E37">
              <v:path arrowok="t" o:connecttype="custom" o:connectlocs="75561,75561;75561,464289;463990,464289;463990,75561;75561,75561;0,0;540000,0;540000,540000;0,540000;0,0;118953,410723;324090,129576;421047,129576;215910,410723;118953,410723" o:connectangles="0,0,0,0,0,0,0,0,0,0,0,0,0,0,0"/>
              <o:lock v:ext="edit" verticies="t" aspectratio="t"/>
              <w10:wrap anchorx="page" anchory="page"/>
              <w10:anchorlock/>
            </v:shape>
          </w:pict>
        </mc:Fallback>
      </mc:AlternateContent>
    </w:r>
  </w:p>
  <w:p w14:paraId="605382C6" w14:textId="77777777" w:rsidR="0008243A" w:rsidRDefault="0008243A"/>
  <w:p w14:paraId="7ECCDB0A" w14:textId="77777777" w:rsidR="0008243A" w:rsidRDefault="0008243A"/>
  <w:p w14:paraId="13FC0B2B" w14:textId="77777777" w:rsidR="0008243A" w:rsidRDefault="0008243A"/>
  <w:p w14:paraId="47451FE7" w14:textId="77777777" w:rsidR="00D02FA5" w:rsidRDefault="00D02F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70A8" w14:textId="77777777" w:rsidR="0008243A" w:rsidRPr="00612964" w:rsidRDefault="0008243A" w:rsidP="00612964">
    <w:pPr>
      <w:pStyle w:val="Wortmarke"/>
    </w:pPr>
    <w:r w:rsidRPr="00612964">
      <w:t>Deutsche Bank</w:t>
    </w:r>
  </w:p>
  <w:p w14:paraId="59A69BAC" w14:textId="77777777" w:rsidR="0008243A" w:rsidRPr="00612964" w:rsidRDefault="0008243A" w:rsidP="00612964">
    <w:pPr>
      <w:pStyle w:val="Identifier"/>
    </w:pPr>
    <w:r w:rsidRPr="00612964">
      <w:fldChar w:fldCharType="begin"/>
    </w:r>
    <w:r w:rsidRPr="00612964">
      <w:instrText xml:space="preserve"> MACROBUTTON  AblehnenAlleÄnderungenAngezeigt [Corporate Division] </w:instrText>
    </w:r>
    <w:r w:rsidRPr="00612964">
      <w:fldChar w:fldCharType="end"/>
    </w:r>
  </w:p>
  <w:p w14:paraId="67AEE9A0" w14:textId="77777777" w:rsidR="0008243A" w:rsidRPr="00350EAC" w:rsidRDefault="0008243A" w:rsidP="00612964">
    <w:pPr>
      <w:pStyle w:val="Identifier"/>
    </w:pPr>
    <w:r w:rsidRPr="004F5A24">
      <mc:AlternateContent>
        <mc:Choice Requires="wps">
          <w:drawing>
            <wp:anchor distT="0" distB="0" distL="114300" distR="114300" simplePos="0" relativeHeight="251658241" behindDoc="0" locked="1" layoutInCell="1" allowOverlap="1" wp14:anchorId="287FC1E5" wp14:editId="21C91DFD">
              <wp:simplePos x="0" y="0"/>
              <wp:positionH relativeFrom="page">
                <wp:posOffset>6661150</wp:posOffset>
              </wp:positionH>
              <wp:positionV relativeFrom="page">
                <wp:posOffset>360045</wp:posOffset>
              </wp:positionV>
              <wp:extent cx="540000" cy="540000"/>
              <wp:effectExtent l="0" t="0" r="0" b="0"/>
              <wp:wrapNone/>
              <wp:docPr id="20605789" name="Freeform 31" descr="Logo Deutsche Ban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540000" cy="540000"/>
                      </a:xfrm>
                      <a:custGeom>
                        <a:avLst/>
                        <a:gdLst>
                          <a:gd name="T0" fmla="*/ 505 w 3609"/>
                          <a:gd name="T1" fmla="*/ 505 h 3609"/>
                          <a:gd name="T2" fmla="*/ 505 w 3609"/>
                          <a:gd name="T3" fmla="*/ 3103 h 3609"/>
                          <a:gd name="T4" fmla="*/ 3101 w 3609"/>
                          <a:gd name="T5" fmla="*/ 3103 h 3609"/>
                          <a:gd name="T6" fmla="*/ 3101 w 3609"/>
                          <a:gd name="T7" fmla="*/ 505 h 3609"/>
                          <a:gd name="T8" fmla="*/ 505 w 3609"/>
                          <a:gd name="T9" fmla="*/ 505 h 3609"/>
                          <a:gd name="T10" fmla="*/ 0 w 3609"/>
                          <a:gd name="T11" fmla="*/ 0 h 3609"/>
                          <a:gd name="T12" fmla="*/ 3609 w 3609"/>
                          <a:gd name="T13" fmla="*/ 0 h 3609"/>
                          <a:gd name="T14" fmla="*/ 3609 w 3609"/>
                          <a:gd name="T15" fmla="*/ 3609 h 3609"/>
                          <a:gd name="T16" fmla="*/ 0 w 3609"/>
                          <a:gd name="T17" fmla="*/ 3609 h 3609"/>
                          <a:gd name="T18" fmla="*/ 0 w 3609"/>
                          <a:gd name="T19" fmla="*/ 0 h 3609"/>
                          <a:gd name="T20" fmla="*/ 795 w 3609"/>
                          <a:gd name="T21" fmla="*/ 2745 h 3609"/>
                          <a:gd name="T22" fmla="*/ 2166 w 3609"/>
                          <a:gd name="T23" fmla="*/ 866 h 3609"/>
                          <a:gd name="T24" fmla="*/ 2814 w 3609"/>
                          <a:gd name="T25" fmla="*/ 866 h 3609"/>
                          <a:gd name="T26" fmla="*/ 1443 w 3609"/>
                          <a:gd name="T27" fmla="*/ 2745 h 3609"/>
                          <a:gd name="T28" fmla="*/ 795 w 3609"/>
                          <a:gd name="T29" fmla="*/ 2745 h 36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09" h="3609">
                            <a:moveTo>
                              <a:pt x="505" y="505"/>
                            </a:moveTo>
                            <a:lnTo>
                              <a:pt x="505" y="3103"/>
                            </a:lnTo>
                            <a:lnTo>
                              <a:pt x="3101" y="3103"/>
                            </a:lnTo>
                            <a:lnTo>
                              <a:pt x="3101" y="505"/>
                            </a:lnTo>
                            <a:lnTo>
                              <a:pt x="505" y="505"/>
                            </a:lnTo>
                            <a:close/>
                            <a:moveTo>
                              <a:pt x="0" y="0"/>
                            </a:moveTo>
                            <a:lnTo>
                              <a:pt x="3609" y="0"/>
                            </a:lnTo>
                            <a:lnTo>
                              <a:pt x="3609" y="3609"/>
                            </a:lnTo>
                            <a:lnTo>
                              <a:pt x="0" y="3609"/>
                            </a:lnTo>
                            <a:lnTo>
                              <a:pt x="0" y="0"/>
                            </a:lnTo>
                            <a:close/>
                            <a:moveTo>
                              <a:pt x="795" y="2745"/>
                            </a:moveTo>
                            <a:lnTo>
                              <a:pt x="2166" y="866"/>
                            </a:lnTo>
                            <a:lnTo>
                              <a:pt x="2814" y="866"/>
                            </a:lnTo>
                            <a:lnTo>
                              <a:pt x="1443" y="2745"/>
                            </a:lnTo>
                            <a:lnTo>
                              <a:pt x="795" y="2745"/>
                            </a:lnTo>
                            <a:close/>
                          </a:path>
                        </a:pathLst>
                      </a:custGeom>
                      <a:solidFill>
                        <a:schemeClr val="accent1"/>
                      </a:solidFill>
                      <a:ln>
                        <a:noFill/>
                      </a:ln>
                    </wps:spPr>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dec="http://schemas.microsoft.com/office/drawing/2017/decorative" xmlns:a="http://schemas.openxmlformats.org/drawingml/2006/main">
          <w:pict w14:anchorId="6D2BFEAB">
            <v:shape id="Freeform 31" style="position:absolute;margin-left:524.5pt;margin-top:28.35pt;width:42.5pt;height:42.5pt;z-index:25166131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Logo Deutsche Bank" coordsize="3609,3609" o:spid="_x0000_s1026" fillcolor="#1e2a78 [3204]" stroked="f" path="m505,505r,2598l3101,3103r,-2598l505,505xm,l3609,r,3609l,3609,,xm795,2745l2166,866r648,l1443,2745r-6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" w14:anchorId="7F0E2DA9">
              <v:path arrowok="t" o:connecttype="custom" o:connectlocs="75561,75561;75561,464289;463990,464289;463990,75561;75561,75561;0,0;540000,0;540000,540000;0,540000;0,0;118953,410723;324090,129576;421047,129576;215910,410723;118953,410723" o:connectangles="0,0,0,0,0,0,0,0,0,0,0,0,0,0,0"/>
              <o:lock v:ext="edit" verticies="t" aspectratio="t"/>
              <w10:wrap anchorx="page" anchory="page"/>
              <w10:anchorlock/>
            </v:shape>
          </w:pict>
        </mc:Fallback>
      </mc:AlternateContent>
    </w:r>
  </w:p>
  <w:p w14:paraId="3C459EA7" w14:textId="77777777" w:rsidR="0008243A" w:rsidRDefault="0008243A"/>
  <w:p w14:paraId="55E44C5A" w14:textId="77777777" w:rsidR="0008243A" w:rsidRDefault="0008243A"/>
  <w:p w14:paraId="3251F0D0" w14:textId="77777777" w:rsidR="0008243A" w:rsidRDefault="000824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B4CA3"/>
    <w:multiLevelType w:val="hybridMultilevel"/>
    <w:tmpl w:val="78EA086C"/>
    <w:lvl w:ilvl="0" w:tplc="5E2C3ABA">
      <w:start w:val="1"/>
      <w:numFmt w:val="bullet"/>
      <w:lvlText w:val="–"/>
      <w:lvlJc w:val="left"/>
      <w:pPr>
        <w:tabs>
          <w:tab w:val="num" w:pos="720"/>
        </w:tabs>
        <w:ind w:left="720" w:hanging="360"/>
      </w:pPr>
      <w:rPr>
        <w:rFonts w:ascii="DeutscheBank" w:hAnsi="DeutscheBank" w:hint="default"/>
      </w:rPr>
    </w:lvl>
    <w:lvl w:ilvl="1" w:tplc="6B16B90E" w:tentative="1">
      <w:start w:val="1"/>
      <w:numFmt w:val="bullet"/>
      <w:lvlText w:val="–"/>
      <w:lvlJc w:val="left"/>
      <w:pPr>
        <w:tabs>
          <w:tab w:val="num" w:pos="1440"/>
        </w:tabs>
        <w:ind w:left="1440" w:hanging="360"/>
      </w:pPr>
      <w:rPr>
        <w:rFonts w:ascii="DeutscheBank" w:hAnsi="DeutscheBank" w:hint="default"/>
      </w:rPr>
    </w:lvl>
    <w:lvl w:ilvl="2" w:tplc="DC10CD52" w:tentative="1">
      <w:start w:val="1"/>
      <w:numFmt w:val="bullet"/>
      <w:lvlText w:val="–"/>
      <w:lvlJc w:val="left"/>
      <w:pPr>
        <w:tabs>
          <w:tab w:val="num" w:pos="2160"/>
        </w:tabs>
        <w:ind w:left="2160" w:hanging="360"/>
      </w:pPr>
      <w:rPr>
        <w:rFonts w:ascii="DeutscheBank" w:hAnsi="DeutscheBank" w:hint="default"/>
      </w:rPr>
    </w:lvl>
    <w:lvl w:ilvl="3" w:tplc="405420DA" w:tentative="1">
      <w:start w:val="1"/>
      <w:numFmt w:val="bullet"/>
      <w:lvlText w:val="–"/>
      <w:lvlJc w:val="left"/>
      <w:pPr>
        <w:tabs>
          <w:tab w:val="num" w:pos="2880"/>
        </w:tabs>
        <w:ind w:left="2880" w:hanging="360"/>
      </w:pPr>
      <w:rPr>
        <w:rFonts w:ascii="DeutscheBank" w:hAnsi="DeutscheBank" w:hint="default"/>
      </w:rPr>
    </w:lvl>
    <w:lvl w:ilvl="4" w:tplc="8D4C2A2A" w:tentative="1">
      <w:start w:val="1"/>
      <w:numFmt w:val="bullet"/>
      <w:lvlText w:val="–"/>
      <w:lvlJc w:val="left"/>
      <w:pPr>
        <w:tabs>
          <w:tab w:val="num" w:pos="3600"/>
        </w:tabs>
        <w:ind w:left="3600" w:hanging="360"/>
      </w:pPr>
      <w:rPr>
        <w:rFonts w:ascii="DeutscheBank" w:hAnsi="DeutscheBank" w:hint="default"/>
      </w:rPr>
    </w:lvl>
    <w:lvl w:ilvl="5" w:tplc="FE2C7D6E" w:tentative="1">
      <w:start w:val="1"/>
      <w:numFmt w:val="bullet"/>
      <w:lvlText w:val="–"/>
      <w:lvlJc w:val="left"/>
      <w:pPr>
        <w:tabs>
          <w:tab w:val="num" w:pos="4320"/>
        </w:tabs>
        <w:ind w:left="4320" w:hanging="360"/>
      </w:pPr>
      <w:rPr>
        <w:rFonts w:ascii="DeutscheBank" w:hAnsi="DeutscheBank" w:hint="default"/>
      </w:rPr>
    </w:lvl>
    <w:lvl w:ilvl="6" w:tplc="63F66C7C" w:tentative="1">
      <w:start w:val="1"/>
      <w:numFmt w:val="bullet"/>
      <w:lvlText w:val="–"/>
      <w:lvlJc w:val="left"/>
      <w:pPr>
        <w:tabs>
          <w:tab w:val="num" w:pos="5040"/>
        </w:tabs>
        <w:ind w:left="5040" w:hanging="360"/>
      </w:pPr>
      <w:rPr>
        <w:rFonts w:ascii="DeutscheBank" w:hAnsi="DeutscheBank" w:hint="default"/>
      </w:rPr>
    </w:lvl>
    <w:lvl w:ilvl="7" w:tplc="38AEB746" w:tentative="1">
      <w:start w:val="1"/>
      <w:numFmt w:val="bullet"/>
      <w:lvlText w:val="–"/>
      <w:lvlJc w:val="left"/>
      <w:pPr>
        <w:tabs>
          <w:tab w:val="num" w:pos="5760"/>
        </w:tabs>
        <w:ind w:left="5760" w:hanging="360"/>
      </w:pPr>
      <w:rPr>
        <w:rFonts w:ascii="DeutscheBank" w:hAnsi="DeutscheBank" w:hint="default"/>
      </w:rPr>
    </w:lvl>
    <w:lvl w:ilvl="8" w:tplc="A6161EC4" w:tentative="1">
      <w:start w:val="1"/>
      <w:numFmt w:val="bullet"/>
      <w:lvlText w:val="–"/>
      <w:lvlJc w:val="left"/>
      <w:pPr>
        <w:tabs>
          <w:tab w:val="num" w:pos="6480"/>
        </w:tabs>
        <w:ind w:left="6480" w:hanging="360"/>
      </w:pPr>
      <w:rPr>
        <w:rFonts w:ascii="DeutscheBank" w:hAnsi="DeutscheBank" w:hint="default"/>
      </w:rPr>
    </w:lvl>
  </w:abstractNum>
  <w:abstractNum w:abstractNumId="1" w15:restartNumberingAfterBreak="0">
    <w:nsid w:val="0E516ED1"/>
    <w:multiLevelType w:val="hybridMultilevel"/>
    <w:tmpl w:val="51CC6868"/>
    <w:lvl w:ilvl="0" w:tplc="CBCE2CBC">
      <w:start w:val="1"/>
      <w:numFmt w:val="decimal"/>
      <w:lvlText w:val="%1."/>
      <w:lvlJc w:val="left"/>
      <w:pPr>
        <w:ind w:left="360" w:hanging="360"/>
      </w:pPr>
      <w:rPr>
        <w:rFonts w:hint="default"/>
        <w:b/>
        <w:bCs/>
        <w:color w:val="1E2A78" w:themeColor="accent1"/>
        <w:u w:color="1E2A78" w:themeColor="accent1"/>
      </w:rPr>
    </w:lvl>
    <w:lvl w:ilvl="1" w:tplc="04070019" w:tentative="1">
      <w:start w:val="1"/>
      <w:numFmt w:val="lowerLetter"/>
      <w:lvlText w:val="%2."/>
      <w:lvlJc w:val="left"/>
      <w:pPr>
        <w:ind w:left="1340" w:hanging="360"/>
      </w:pPr>
    </w:lvl>
    <w:lvl w:ilvl="2" w:tplc="0407001B" w:tentative="1">
      <w:start w:val="1"/>
      <w:numFmt w:val="lowerRoman"/>
      <w:lvlText w:val="%3."/>
      <w:lvlJc w:val="right"/>
      <w:pPr>
        <w:ind w:left="2060" w:hanging="180"/>
      </w:pPr>
    </w:lvl>
    <w:lvl w:ilvl="3" w:tplc="0407000F" w:tentative="1">
      <w:start w:val="1"/>
      <w:numFmt w:val="decimal"/>
      <w:lvlText w:val="%4."/>
      <w:lvlJc w:val="left"/>
      <w:pPr>
        <w:ind w:left="2780" w:hanging="360"/>
      </w:pPr>
    </w:lvl>
    <w:lvl w:ilvl="4" w:tplc="04070019" w:tentative="1">
      <w:start w:val="1"/>
      <w:numFmt w:val="lowerLetter"/>
      <w:lvlText w:val="%5."/>
      <w:lvlJc w:val="left"/>
      <w:pPr>
        <w:ind w:left="3500" w:hanging="360"/>
      </w:pPr>
    </w:lvl>
    <w:lvl w:ilvl="5" w:tplc="0407001B" w:tentative="1">
      <w:start w:val="1"/>
      <w:numFmt w:val="lowerRoman"/>
      <w:lvlText w:val="%6."/>
      <w:lvlJc w:val="right"/>
      <w:pPr>
        <w:ind w:left="4220" w:hanging="180"/>
      </w:pPr>
    </w:lvl>
    <w:lvl w:ilvl="6" w:tplc="0407000F" w:tentative="1">
      <w:start w:val="1"/>
      <w:numFmt w:val="decimal"/>
      <w:lvlText w:val="%7."/>
      <w:lvlJc w:val="left"/>
      <w:pPr>
        <w:ind w:left="4940" w:hanging="360"/>
      </w:pPr>
    </w:lvl>
    <w:lvl w:ilvl="7" w:tplc="04070019" w:tentative="1">
      <w:start w:val="1"/>
      <w:numFmt w:val="lowerLetter"/>
      <w:lvlText w:val="%8."/>
      <w:lvlJc w:val="left"/>
      <w:pPr>
        <w:ind w:left="5660" w:hanging="360"/>
      </w:pPr>
    </w:lvl>
    <w:lvl w:ilvl="8" w:tplc="0407001B" w:tentative="1">
      <w:start w:val="1"/>
      <w:numFmt w:val="lowerRoman"/>
      <w:lvlText w:val="%9."/>
      <w:lvlJc w:val="right"/>
      <w:pPr>
        <w:ind w:left="6380" w:hanging="180"/>
      </w:pPr>
    </w:lvl>
  </w:abstractNum>
  <w:abstractNum w:abstractNumId="2" w15:restartNumberingAfterBreak="0">
    <w:nsid w:val="0F3B7898"/>
    <w:multiLevelType w:val="hybridMultilevel"/>
    <w:tmpl w:val="7BF62BC0"/>
    <w:lvl w:ilvl="0" w:tplc="7EE44E14">
      <w:start w:val="25"/>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E51265"/>
    <w:multiLevelType w:val="hybridMultilevel"/>
    <w:tmpl w:val="3F8EA7E2"/>
    <w:lvl w:ilvl="0" w:tplc="2D4650EA">
      <w:start w:val="1"/>
      <w:numFmt w:val="bullet"/>
      <w:lvlText w:val="–"/>
      <w:lvlJc w:val="left"/>
      <w:pPr>
        <w:tabs>
          <w:tab w:val="num" w:pos="720"/>
        </w:tabs>
        <w:ind w:left="720" w:hanging="360"/>
      </w:pPr>
      <w:rPr>
        <w:rFonts w:ascii="DeutscheBank" w:hAnsi="DeutscheBank" w:hint="default"/>
      </w:rPr>
    </w:lvl>
    <w:lvl w:ilvl="1" w:tplc="F33CD95A" w:tentative="1">
      <w:start w:val="1"/>
      <w:numFmt w:val="bullet"/>
      <w:lvlText w:val="–"/>
      <w:lvlJc w:val="left"/>
      <w:pPr>
        <w:tabs>
          <w:tab w:val="num" w:pos="1440"/>
        </w:tabs>
        <w:ind w:left="1440" w:hanging="360"/>
      </w:pPr>
      <w:rPr>
        <w:rFonts w:ascii="DeutscheBank" w:hAnsi="DeutscheBank" w:hint="default"/>
      </w:rPr>
    </w:lvl>
    <w:lvl w:ilvl="2" w:tplc="D05CCEA2" w:tentative="1">
      <w:start w:val="1"/>
      <w:numFmt w:val="bullet"/>
      <w:lvlText w:val="–"/>
      <w:lvlJc w:val="left"/>
      <w:pPr>
        <w:tabs>
          <w:tab w:val="num" w:pos="2160"/>
        </w:tabs>
        <w:ind w:left="2160" w:hanging="360"/>
      </w:pPr>
      <w:rPr>
        <w:rFonts w:ascii="DeutscheBank" w:hAnsi="DeutscheBank" w:hint="default"/>
      </w:rPr>
    </w:lvl>
    <w:lvl w:ilvl="3" w:tplc="AB16173E" w:tentative="1">
      <w:start w:val="1"/>
      <w:numFmt w:val="bullet"/>
      <w:lvlText w:val="–"/>
      <w:lvlJc w:val="left"/>
      <w:pPr>
        <w:tabs>
          <w:tab w:val="num" w:pos="2880"/>
        </w:tabs>
        <w:ind w:left="2880" w:hanging="360"/>
      </w:pPr>
      <w:rPr>
        <w:rFonts w:ascii="DeutscheBank" w:hAnsi="DeutscheBank" w:hint="default"/>
      </w:rPr>
    </w:lvl>
    <w:lvl w:ilvl="4" w:tplc="E55A507C" w:tentative="1">
      <w:start w:val="1"/>
      <w:numFmt w:val="bullet"/>
      <w:lvlText w:val="–"/>
      <w:lvlJc w:val="left"/>
      <w:pPr>
        <w:tabs>
          <w:tab w:val="num" w:pos="3600"/>
        </w:tabs>
        <w:ind w:left="3600" w:hanging="360"/>
      </w:pPr>
      <w:rPr>
        <w:rFonts w:ascii="DeutscheBank" w:hAnsi="DeutscheBank" w:hint="default"/>
      </w:rPr>
    </w:lvl>
    <w:lvl w:ilvl="5" w:tplc="359280F8" w:tentative="1">
      <w:start w:val="1"/>
      <w:numFmt w:val="bullet"/>
      <w:lvlText w:val="–"/>
      <w:lvlJc w:val="left"/>
      <w:pPr>
        <w:tabs>
          <w:tab w:val="num" w:pos="4320"/>
        </w:tabs>
        <w:ind w:left="4320" w:hanging="360"/>
      </w:pPr>
      <w:rPr>
        <w:rFonts w:ascii="DeutscheBank" w:hAnsi="DeutscheBank" w:hint="default"/>
      </w:rPr>
    </w:lvl>
    <w:lvl w:ilvl="6" w:tplc="087022B4" w:tentative="1">
      <w:start w:val="1"/>
      <w:numFmt w:val="bullet"/>
      <w:lvlText w:val="–"/>
      <w:lvlJc w:val="left"/>
      <w:pPr>
        <w:tabs>
          <w:tab w:val="num" w:pos="5040"/>
        </w:tabs>
        <w:ind w:left="5040" w:hanging="360"/>
      </w:pPr>
      <w:rPr>
        <w:rFonts w:ascii="DeutscheBank" w:hAnsi="DeutscheBank" w:hint="default"/>
      </w:rPr>
    </w:lvl>
    <w:lvl w:ilvl="7" w:tplc="CF8A776E" w:tentative="1">
      <w:start w:val="1"/>
      <w:numFmt w:val="bullet"/>
      <w:lvlText w:val="–"/>
      <w:lvlJc w:val="left"/>
      <w:pPr>
        <w:tabs>
          <w:tab w:val="num" w:pos="5760"/>
        </w:tabs>
        <w:ind w:left="5760" w:hanging="360"/>
      </w:pPr>
      <w:rPr>
        <w:rFonts w:ascii="DeutscheBank" w:hAnsi="DeutscheBank" w:hint="default"/>
      </w:rPr>
    </w:lvl>
    <w:lvl w:ilvl="8" w:tplc="4730818E" w:tentative="1">
      <w:start w:val="1"/>
      <w:numFmt w:val="bullet"/>
      <w:lvlText w:val="–"/>
      <w:lvlJc w:val="left"/>
      <w:pPr>
        <w:tabs>
          <w:tab w:val="num" w:pos="6480"/>
        </w:tabs>
        <w:ind w:left="6480" w:hanging="360"/>
      </w:pPr>
      <w:rPr>
        <w:rFonts w:ascii="DeutscheBank" w:hAnsi="DeutscheBank" w:hint="default"/>
      </w:rPr>
    </w:lvl>
  </w:abstractNum>
  <w:abstractNum w:abstractNumId="4" w15:restartNumberingAfterBreak="0">
    <w:nsid w:val="37597E7A"/>
    <w:multiLevelType w:val="hybridMultilevel"/>
    <w:tmpl w:val="CC160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9626E5"/>
    <w:multiLevelType w:val="hybridMultilevel"/>
    <w:tmpl w:val="A10A998E"/>
    <w:lvl w:ilvl="0" w:tplc="5B74E2D0">
      <w:start w:val="1"/>
      <w:numFmt w:val="bullet"/>
      <w:lvlText w:val="●"/>
      <w:lvlJc w:val="left"/>
      <w:pPr>
        <w:ind w:left="720" w:hanging="360"/>
      </w:pPr>
    </w:lvl>
    <w:lvl w:ilvl="1" w:tplc="D03AE05C">
      <w:start w:val="1"/>
      <w:numFmt w:val="bullet"/>
      <w:lvlText w:val="○"/>
      <w:lvlJc w:val="left"/>
      <w:pPr>
        <w:ind w:left="1440" w:hanging="360"/>
      </w:pPr>
    </w:lvl>
    <w:lvl w:ilvl="2" w:tplc="D83C0002">
      <w:start w:val="1"/>
      <w:numFmt w:val="bullet"/>
      <w:lvlText w:val="■"/>
      <w:lvlJc w:val="left"/>
      <w:pPr>
        <w:ind w:left="2160" w:hanging="360"/>
      </w:pPr>
    </w:lvl>
    <w:lvl w:ilvl="3" w:tplc="CEFAE94C">
      <w:start w:val="1"/>
      <w:numFmt w:val="bullet"/>
      <w:lvlText w:val="●"/>
      <w:lvlJc w:val="left"/>
      <w:pPr>
        <w:ind w:left="2880" w:hanging="360"/>
      </w:pPr>
    </w:lvl>
    <w:lvl w:ilvl="4" w:tplc="8DFED124">
      <w:start w:val="1"/>
      <w:numFmt w:val="bullet"/>
      <w:lvlText w:val="○"/>
      <w:lvlJc w:val="left"/>
      <w:pPr>
        <w:ind w:left="3600" w:hanging="360"/>
      </w:pPr>
    </w:lvl>
    <w:lvl w:ilvl="5" w:tplc="D4C888E0">
      <w:start w:val="1"/>
      <w:numFmt w:val="bullet"/>
      <w:lvlText w:val="■"/>
      <w:lvlJc w:val="left"/>
      <w:pPr>
        <w:ind w:left="4320" w:hanging="360"/>
      </w:pPr>
    </w:lvl>
    <w:lvl w:ilvl="6" w:tplc="9C248266">
      <w:start w:val="1"/>
      <w:numFmt w:val="bullet"/>
      <w:lvlText w:val="●"/>
      <w:lvlJc w:val="left"/>
      <w:pPr>
        <w:ind w:left="5040" w:hanging="360"/>
      </w:pPr>
    </w:lvl>
    <w:lvl w:ilvl="7" w:tplc="1BE0B124">
      <w:start w:val="1"/>
      <w:numFmt w:val="bullet"/>
      <w:lvlText w:val="●"/>
      <w:lvlJc w:val="left"/>
      <w:pPr>
        <w:ind w:left="5760" w:hanging="360"/>
      </w:pPr>
    </w:lvl>
    <w:lvl w:ilvl="8" w:tplc="31EA57C8">
      <w:start w:val="1"/>
      <w:numFmt w:val="bullet"/>
      <w:lvlText w:val="●"/>
      <w:lvlJc w:val="left"/>
      <w:pPr>
        <w:ind w:left="6480" w:hanging="360"/>
      </w:pPr>
    </w:lvl>
  </w:abstractNum>
  <w:abstractNum w:abstractNumId="6" w15:restartNumberingAfterBreak="0">
    <w:nsid w:val="40663E74"/>
    <w:multiLevelType w:val="hybridMultilevel"/>
    <w:tmpl w:val="F746CD6E"/>
    <w:lvl w:ilvl="0" w:tplc="83F820C2">
      <w:start w:val="1"/>
      <w:numFmt w:val="decimal"/>
      <w:lvlText w:val="%1"/>
      <w:lvlJc w:val="left"/>
      <w:pPr>
        <w:ind w:left="1137" w:hanging="705"/>
      </w:pPr>
      <w:rPr>
        <w:rFonts w:hint="default"/>
      </w:r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7" w15:restartNumberingAfterBreak="0">
    <w:nsid w:val="4F1F20F1"/>
    <w:multiLevelType w:val="hybridMultilevel"/>
    <w:tmpl w:val="EDC8B310"/>
    <w:lvl w:ilvl="0" w:tplc="4DCAB62E">
      <w:start w:val="1"/>
      <w:numFmt w:val="bullet"/>
      <w:lvlText w:val="–"/>
      <w:lvlJc w:val="left"/>
      <w:pPr>
        <w:ind w:left="720" w:hanging="360"/>
      </w:pPr>
      <w:rPr>
        <w:rFonts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F664128"/>
    <w:multiLevelType w:val="hybridMultilevel"/>
    <w:tmpl w:val="F3769A34"/>
    <w:lvl w:ilvl="0" w:tplc="461C1B8E">
      <w:start w:val="1"/>
      <w:numFmt w:val="bullet"/>
      <w:pStyle w:val="Auflistung1"/>
      <w:lvlText w:val="–"/>
      <w:lvlJc w:val="left"/>
      <w:pPr>
        <w:ind w:left="360" w:hanging="360"/>
      </w:pPr>
      <w:rPr>
        <w:rFonts w:ascii="DeutscheBank" w:hAnsi="DeutscheBank"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CBD5B1D"/>
    <w:multiLevelType w:val="multilevel"/>
    <w:tmpl w:val="CDC6B1F0"/>
    <w:lvl w:ilvl="0">
      <w:start w:val="1"/>
      <w:numFmt w:val="decimal"/>
      <w:lvlText w:val="%1."/>
      <w:lvlJc w:val="left"/>
      <w:pPr>
        <w:ind w:left="357" w:hanging="35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567" w:hanging="210"/>
      </w:pPr>
      <w:rPr>
        <w:rFonts w:ascii="DeutscheBank" w:hAnsi="DeutscheBank" w:hint="default"/>
        <w:color w:val="auto"/>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74DD0FD0"/>
    <w:multiLevelType w:val="multilevel"/>
    <w:tmpl w:val="DC149AC4"/>
    <w:lvl w:ilvl="0">
      <w:start w:val="1"/>
      <w:numFmt w:val="decimal"/>
      <w:pStyle w:val="Heading1"/>
      <w:lvlText w:val="%1"/>
      <w:lvlJc w:val="left"/>
      <w:pPr>
        <w:ind w:left="114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262183325">
    <w:abstractNumId w:val="8"/>
  </w:num>
  <w:num w:numId="2" w16cid:durableId="1637174457">
    <w:abstractNumId w:val="0"/>
  </w:num>
  <w:num w:numId="3" w16cid:durableId="1728146620">
    <w:abstractNumId w:val="3"/>
  </w:num>
  <w:num w:numId="4" w16cid:durableId="524175088">
    <w:abstractNumId w:val="4"/>
  </w:num>
  <w:num w:numId="5" w16cid:durableId="1671248415">
    <w:abstractNumId w:val="10"/>
  </w:num>
  <w:num w:numId="6" w16cid:durableId="1860700014">
    <w:abstractNumId w:val="5"/>
    <w:lvlOverride w:ilvl="0">
      <w:startOverride w:val="1"/>
    </w:lvlOverride>
  </w:num>
  <w:num w:numId="7" w16cid:durableId="1120800531">
    <w:abstractNumId w:val="2"/>
  </w:num>
  <w:num w:numId="8" w16cid:durableId="1522890141">
    <w:abstractNumId w:val="7"/>
  </w:num>
  <w:num w:numId="9" w16cid:durableId="1135487762">
    <w:abstractNumId w:val="1"/>
  </w:num>
  <w:num w:numId="10" w16cid:durableId="2057309166">
    <w:abstractNumId w:val="9"/>
  </w:num>
  <w:num w:numId="11" w16cid:durableId="2063674926">
    <w:abstractNumId w:val="10"/>
  </w:num>
  <w:num w:numId="12" w16cid:durableId="17888149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1D"/>
    <w:rsid w:val="00000134"/>
    <w:rsid w:val="000021C0"/>
    <w:rsid w:val="00004797"/>
    <w:rsid w:val="00005222"/>
    <w:rsid w:val="0000581E"/>
    <w:rsid w:val="00006047"/>
    <w:rsid w:val="00007802"/>
    <w:rsid w:val="00007B04"/>
    <w:rsid w:val="00007F33"/>
    <w:rsid w:val="00007F8E"/>
    <w:rsid w:val="00010128"/>
    <w:rsid w:val="000110BA"/>
    <w:rsid w:val="0001173C"/>
    <w:rsid w:val="00012376"/>
    <w:rsid w:val="00012A80"/>
    <w:rsid w:val="00013663"/>
    <w:rsid w:val="00013BCB"/>
    <w:rsid w:val="00014212"/>
    <w:rsid w:val="00014928"/>
    <w:rsid w:val="0001505F"/>
    <w:rsid w:val="000163D3"/>
    <w:rsid w:val="000175B8"/>
    <w:rsid w:val="00020224"/>
    <w:rsid w:val="00020574"/>
    <w:rsid w:val="00020879"/>
    <w:rsid w:val="00021A38"/>
    <w:rsid w:val="00022865"/>
    <w:rsid w:val="00024580"/>
    <w:rsid w:val="00025AEB"/>
    <w:rsid w:val="00025EBC"/>
    <w:rsid w:val="000264E6"/>
    <w:rsid w:val="00026F54"/>
    <w:rsid w:val="000301F0"/>
    <w:rsid w:val="000306E6"/>
    <w:rsid w:val="000307D1"/>
    <w:rsid w:val="00030FA3"/>
    <w:rsid w:val="000311AF"/>
    <w:rsid w:val="0003168F"/>
    <w:rsid w:val="00033437"/>
    <w:rsid w:val="000347DC"/>
    <w:rsid w:val="00034F74"/>
    <w:rsid w:val="00036C9D"/>
    <w:rsid w:val="00036DD2"/>
    <w:rsid w:val="0003754D"/>
    <w:rsid w:val="00037A0C"/>
    <w:rsid w:val="00040E71"/>
    <w:rsid w:val="00040F50"/>
    <w:rsid w:val="0004188A"/>
    <w:rsid w:val="00041F24"/>
    <w:rsid w:val="000427BA"/>
    <w:rsid w:val="00042D79"/>
    <w:rsid w:val="00043057"/>
    <w:rsid w:val="00043F5A"/>
    <w:rsid w:val="00044798"/>
    <w:rsid w:val="00044A25"/>
    <w:rsid w:val="00044C7E"/>
    <w:rsid w:val="000456D9"/>
    <w:rsid w:val="00045C2B"/>
    <w:rsid w:val="00046023"/>
    <w:rsid w:val="000466A7"/>
    <w:rsid w:val="000468C2"/>
    <w:rsid w:val="00046A99"/>
    <w:rsid w:val="00046C12"/>
    <w:rsid w:val="000478C8"/>
    <w:rsid w:val="00047A7C"/>
    <w:rsid w:val="00047AF9"/>
    <w:rsid w:val="00047CFD"/>
    <w:rsid w:val="00050DD2"/>
    <w:rsid w:val="00050F2A"/>
    <w:rsid w:val="000512D9"/>
    <w:rsid w:val="000520A0"/>
    <w:rsid w:val="000526DD"/>
    <w:rsid w:val="000526E0"/>
    <w:rsid w:val="00052A38"/>
    <w:rsid w:val="00054201"/>
    <w:rsid w:val="000542F3"/>
    <w:rsid w:val="00054820"/>
    <w:rsid w:val="00054B2C"/>
    <w:rsid w:val="00055250"/>
    <w:rsid w:val="000552C1"/>
    <w:rsid w:val="0005597D"/>
    <w:rsid w:val="00055C24"/>
    <w:rsid w:val="00055D45"/>
    <w:rsid w:val="0005643F"/>
    <w:rsid w:val="0005753C"/>
    <w:rsid w:val="0005762A"/>
    <w:rsid w:val="00057A75"/>
    <w:rsid w:val="00057B3A"/>
    <w:rsid w:val="0006098D"/>
    <w:rsid w:val="00061510"/>
    <w:rsid w:val="000615D6"/>
    <w:rsid w:val="00061AB6"/>
    <w:rsid w:val="0006205A"/>
    <w:rsid w:val="000621E1"/>
    <w:rsid w:val="000622FA"/>
    <w:rsid w:val="00062E16"/>
    <w:rsid w:val="000638E6"/>
    <w:rsid w:val="000639EE"/>
    <w:rsid w:val="0006482A"/>
    <w:rsid w:val="00064DE6"/>
    <w:rsid w:val="00065A8A"/>
    <w:rsid w:val="00066762"/>
    <w:rsid w:val="00066D87"/>
    <w:rsid w:val="0006760F"/>
    <w:rsid w:val="000676A3"/>
    <w:rsid w:val="000676ED"/>
    <w:rsid w:val="000679C2"/>
    <w:rsid w:val="00067E69"/>
    <w:rsid w:val="0007084F"/>
    <w:rsid w:val="00070A38"/>
    <w:rsid w:val="000710E4"/>
    <w:rsid w:val="00071496"/>
    <w:rsid w:val="000716E0"/>
    <w:rsid w:val="00072131"/>
    <w:rsid w:val="00072959"/>
    <w:rsid w:val="0007751F"/>
    <w:rsid w:val="000775A3"/>
    <w:rsid w:val="00077C81"/>
    <w:rsid w:val="00080506"/>
    <w:rsid w:val="00080C7F"/>
    <w:rsid w:val="0008171E"/>
    <w:rsid w:val="00081DCF"/>
    <w:rsid w:val="0008243A"/>
    <w:rsid w:val="0008272E"/>
    <w:rsid w:val="00082FFB"/>
    <w:rsid w:val="000835BB"/>
    <w:rsid w:val="00083806"/>
    <w:rsid w:val="00083B5E"/>
    <w:rsid w:val="0008458E"/>
    <w:rsid w:val="00085133"/>
    <w:rsid w:val="000853D7"/>
    <w:rsid w:val="00086026"/>
    <w:rsid w:val="00086E87"/>
    <w:rsid w:val="0008751D"/>
    <w:rsid w:val="00090BC0"/>
    <w:rsid w:val="00091253"/>
    <w:rsid w:val="00091A75"/>
    <w:rsid w:val="00091CAA"/>
    <w:rsid w:val="00092022"/>
    <w:rsid w:val="00092073"/>
    <w:rsid w:val="00092369"/>
    <w:rsid w:val="00092A5A"/>
    <w:rsid w:val="00092C71"/>
    <w:rsid w:val="0009325D"/>
    <w:rsid w:val="00093570"/>
    <w:rsid w:val="00093690"/>
    <w:rsid w:val="0009388B"/>
    <w:rsid w:val="00094896"/>
    <w:rsid w:val="00094C6B"/>
    <w:rsid w:val="00095064"/>
    <w:rsid w:val="00095C43"/>
    <w:rsid w:val="000963EE"/>
    <w:rsid w:val="00096DEB"/>
    <w:rsid w:val="00096F14"/>
    <w:rsid w:val="00096F65"/>
    <w:rsid w:val="00097095"/>
    <w:rsid w:val="0009788D"/>
    <w:rsid w:val="000A088E"/>
    <w:rsid w:val="000A14ED"/>
    <w:rsid w:val="000A1FDF"/>
    <w:rsid w:val="000A31F7"/>
    <w:rsid w:val="000A3C25"/>
    <w:rsid w:val="000A4ACE"/>
    <w:rsid w:val="000A6481"/>
    <w:rsid w:val="000A6B27"/>
    <w:rsid w:val="000A6B68"/>
    <w:rsid w:val="000A6C04"/>
    <w:rsid w:val="000A7907"/>
    <w:rsid w:val="000A7B79"/>
    <w:rsid w:val="000A7F0A"/>
    <w:rsid w:val="000B0090"/>
    <w:rsid w:val="000B0ABB"/>
    <w:rsid w:val="000B28E2"/>
    <w:rsid w:val="000B2BDF"/>
    <w:rsid w:val="000B30F6"/>
    <w:rsid w:val="000B3238"/>
    <w:rsid w:val="000B3AF0"/>
    <w:rsid w:val="000B4DA5"/>
    <w:rsid w:val="000B516C"/>
    <w:rsid w:val="000B5350"/>
    <w:rsid w:val="000B5365"/>
    <w:rsid w:val="000B54F7"/>
    <w:rsid w:val="000B55C9"/>
    <w:rsid w:val="000B6003"/>
    <w:rsid w:val="000B7715"/>
    <w:rsid w:val="000B7B9E"/>
    <w:rsid w:val="000B7BC9"/>
    <w:rsid w:val="000C1A3E"/>
    <w:rsid w:val="000C2B02"/>
    <w:rsid w:val="000C2B8A"/>
    <w:rsid w:val="000C3C64"/>
    <w:rsid w:val="000C40B3"/>
    <w:rsid w:val="000C4550"/>
    <w:rsid w:val="000C4F91"/>
    <w:rsid w:val="000C6B8A"/>
    <w:rsid w:val="000D035A"/>
    <w:rsid w:val="000D0450"/>
    <w:rsid w:val="000D2361"/>
    <w:rsid w:val="000D2E3D"/>
    <w:rsid w:val="000D435F"/>
    <w:rsid w:val="000D45B1"/>
    <w:rsid w:val="000D4A6A"/>
    <w:rsid w:val="000D4E87"/>
    <w:rsid w:val="000D511C"/>
    <w:rsid w:val="000D5134"/>
    <w:rsid w:val="000D632D"/>
    <w:rsid w:val="000D6841"/>
    <w:rsid w:val="000D70DC"/>
    <w:rsid w:val="000D75B3"/>
    <w:rsid w:val="000D7B81"/>
    <w:rsid w:val="000E0D66"/>
    <w:rsid w:val="000E1E84"/>
    <w:rsid w:val="000E2674"/>
    <w:rsid w:val="000E26AB"/>
    <w:rsid w:val="000E3463"/>
    <w:rsid w:val="000E3D12"/>
    <w:rsid w:val="000E44BA"/>
    <w:rsid w:val="000E4D61"/>
    <w:rsid w:val="000E5E41"/>
    <w:rsid w:val="000E5F31"/>
    <w:rsid w:val="000E663F"/>
    <w:rsid w:val="000E6810"/>
    <w:rsid w:val="000E6C6B"/>
    <w:rsid w:val="000E6CE0"/>
    <w:rsid w:val="000E6E97"/>
    <w:rsid w:val="000E7B84"/>
    <w:rsid w:val="000F01B9"/>
    <w:rsid w:val="000F1E3A"/>
    <w:rsid w:val="000F202F"/>
    <w:rsid w:val="000F2133"/>
    <w:rsid w:val="000F4463"/>
    <w:rsid w:val="000F4610"/>
    <w:rsid w:val="000F5271"/>
    <w:rsid w:val="000F5BFA"/>
    <w:rsid w:val="000F61D8"/>
    <w:rsid w:val="000F63B0"/>
    <w:rsid w:val="000F6BA4"/>
    <w:rsid w:val="000F6C5C"/>
    <w:rsid w:val="000F6E33"/>
    <w:rsid w:val="000F72C2"/>
    <w:rsid w:val="000F7383"/>
    <w:rsid w:val="000F7969"/>
    <w:rsid w:val="000F7E59"/>
    <w:rsid w:val="00100D6C"/>
    <w:rsid w:val="00101111"/>
    <w:rsid w:val="00101D33"/>
    <w:rsid w:val="00102738"/>
    <w:rsid w:val="00103218"/>
    <w:rsid w:val="001037C1"/>
    <w:rsid w:val="00103B70"/>
    <w:rsid w:val="00104010"/>
    <w:rsid w:val="001042BE"/>
    <w:rsid w:val="001049A9"/>
    <w:rsid w:val="00105463"/>
    <w:rsid w:val="00105A1F"/>
    <w:rsid w:val="00105E32"/>
    <w:rsid w:val="001069F0"/>
    <w:rsid w:val="00107039"/>
    <w:rsid w:val="00107AB3"/>
    <w:rsid w:val="00110DD0"/>
    <w:rsid w:val="00110E33"/>
    <w:rsid w:val="00111502"/>
    <w:rsid w:val="0011195D"/>
    <w:rsid w:val="00112236"/>
    <w:rsid w:val="0011242C"/>
    <w:rsid w:val="0011299E"/>
    <w:rsid w:val="00112B22"/>
    <w:rsid w:val="00113360"/>
    <w:rsid w:val="0011412F"/>
    <w:rsid w:val="001148ED"/>
    <w:rsid w:val="00115DAD"/>
    <w:rsid w:val="00116351"/>
    <w:rsid w:val="00116361"/>
    <w:rsid w:val="00117910"/>
    <w:rsid w:val="0012012A"/>
    <w:rsid w:val="0012061C"/>
    <w:rsid w:val="00120A88"/>
    <w:rsid w:val="00120C57"/>
    <w:rsid w:val="0012141B"/>
    <w:rsid w:val="0012177D"/>
    <w:rsid w:val="001227E2"/>
    <w:rsid w:val="00123BB1"/>
    <w:rsid w:val="001240E2"/>
    <w:rsid w:val="001243DA"/>
    <w:rsid w:val="00124428"/>
    <w:rsid w:val="001245E3"/>
    <w:rsid w:val="0012582E"/>
    <w:rsid w:val="00127278"/>
    <w:rsid w:val="0012766D"/>
    <w:rsid w:val="0013058E"/>
    <w:rsid w:val="001319EA"/>
    <w:rsid w:val="00132E7D"/>
    <w:rsid w:val="0013336A"/>
    <w:rsid w:val="00133ED1"/>
    <w:rsid w:val="00135284"/>
    <w:rsid w:val="00136073"/>
    <w:rsid w:val="0013649D"/>
    <w:rsid w:val="001376A8"/>
    <w:rsid w:val="00137EFB"/>
    <w:rsid w:val="00137F7A"/>
    <w:rsid w:val="00140150"/>
    <w:rsid w:val="0014038B"/>
    <w:rsid w:val="001411A9"/>
    <w:rsid w:val="001431E1"/>
    <w:rsid w:val="00143858"/>
    <w:rsid w:val="00143989"/>
    <w:rsid w:val="00143BD5"/>
    <w:rsid w:val="00145334"/>
    <w:rsid w:val="00145682"/>
    <w:rsid w:val="00145B7A"/>
    <w:rsid w:val="00146512"/>
    <w:rsid w:val="0015081C"/>
    <w:rsid w:val="00150F31"/>
    <w:rsid w:val="001518FD"/>
    <w:rsid w:val="001529AF"/>
    <w:rsid w:val="00152D7B"/>
    <w:rsid w:val="00153C1A"/>
    <w:rsid w:val="00153C67"/>
    <w:rsid w:val="00153D66"/>
    <w:rsid w:val="00153FAA"/>
    <w:rsid w:val="00154382"/>
    <w:rsid w:val="00154A0B"/>
    <w:rsid w:val="001554E6"/>
    <w:rsid w:val="00155D19"/>
    <w:rsid w:val="00156145"/>
    <w:rsid w:val="00156410"/>
    <w:rsid w:val="00156512"/>
    <w:rsid w:val="00156592"/>
    <w:rsid w:val="00156854"/>
    <w:rsid w:val="00157040"/>
    <w:rsid w:val="00157FBA"/>
    <w:rsid w:val="00160989"/>
    <w:rsid w:val="00160ECF"/>
    <w:rsid w:val="00160FCF"/>
    <w:rsid w:val="001621B7"/>
    <w:rsid w:val="0016238B"/>
    <w:rsid w:val="00162573"/>
    <w:rsid w:val="001630C1"/>
    <w:rsid w:val="00163A88"/>
    <w:rsid w:val="00164047"/>
    <w:rsid w:val="0016467C"/>
    <w:rsid w:val="001657BA"/>
    <w:rsid w:val="00165D5F"/>
    <w:rsid w:val="00165DB8"/>
    <w:rsid w:val="0016655D"/>
    <w:rsid w:val="001673E7"/>
    <w:rsid w:val="001675F2"/>
    <w:rsid w:val="001700B8"/>
    <w:rsid w:val="00170223"/>
    <w:rsid w:val="00170BBB"/>
    <w:rsid w:val="001710B7"/>
    <w:rsid w:val="001711D3"/>
    <w:rsid w:val="001713CB"/>
    <w:rsid w:val="00171693"/>
    <w:rsid w:val="00171852"/>
    <w:rsid w:val="00171CBC"/>
    <w:rsid w:val="00172015"/>
    <w:rsid w:val="001723E9"/>
    <w:rsid w:val="00172BEB"/>
    <w:rsid w:val="00173165"/>
    <w:rsid w:val="0017396C"/>
    <w:rsid w:val="001748BE"/>
    <w:rsid w:val="00174A1D"/>
    <w:rsid w:val="00174B2D"/>
    <w:rsid w:val="001750C5"/>
    <w:rsid w:val="00175115"/>
    <w:rsid w:val="00176271"/>
    <w:rsid w:val="001765A8"/>
    <w:rsid w:val="001767C1"/>
    <w:rsid w:val="00177B13"/>
    <w:rsid w:val="001801E5"/>
    <w:rsid w:val="001803A9"/>
    <w:rsid w:val="0018040F"/>
    <w:rsid w:val="0018055A"/>
    <w:rsid w:val="00180B48"/>
    <w:rsid w:val="00180CA8"/>
    <w:rsid w:val="0018111F"/>
    <w:rsid w:val="00181E33"/>
    <w:rsid w:val="00182089"/>
    <w:rsid w:val="001826BB"/>
    <w:rsid w:val="001829FC"/>
    <w:rsid w:val="00182B38"/>
    <w:rsid w:val="0018355F"/>
    <w:rsid w:val="001838C1"/>
    <w:rsid w:val="00183B55"/>
    <w:rsid w:val="00185203"/>
    <w:rsid w:val="001857BB"/>
    <w:rsid w:val="00185E05"/>
    <w:rsid w:val="00186496"/>
    <w:rsid w:val="0018751A"/>
    <w:rsid w:val="0018CD2C"/>
    <w:rsid w:val="00190875"/>
    <w:rsid w:val="00191CA5"/>
    <w:rsid w:val="00192BB5"/>
    <w:rsid w:val="00192EE9"/>
    <w:rsid w:val="00192F22"/>
    <w:rsid w:val="0019326A"/>
    <w:rsid w:val="00193CCF"/>
    <w:rsid w:val="00193D5B"/>
    <w:rsid w:val="0019499D"/>
    <w:rsid w:val="001951E8"/>
    <w:rsid w:val="001956AE"/>
    <w:rsid w:val="001958F7"/>
    <w:rsid w:val="00196E29"/>
    <w:rsid w:val="001979E9"/>
    <w:rsid w:val="001A0271"/>
    <w:rsid w:val="001A07C4"/>
    <w:rsid w:val="001A088A"/>
    <w:rsid w:val="001A11C7"/>
    <w:rsid w:val="001A1753"/>
    <w:rsid w:val="001A194A"/>
    <w:rsid w:val="001A297F"/>
    <w:rsid w:val="001A41A2"/>
    <w:rsid w:val="001A41E6"/>
    <w:rsid w:val="001A4893"/>
    <w:rsid w:val="001A4C6A"/>
    <w:rsid w:val="001A4C98"/>
    <w:rsid w:val="001A5CE9"/>
    <w:rsid w:val="001A5F67"/>
    <w:rsid w:val="001A65F1"/>
    <w:rsid w:val="001A7E0F"/>
    <w:rsid w:val="001B10D5"/>
    <w:rsid w:val="001B1872"/>
    <w:rsid w:val="001B193B"/>
    <w:rsid w:val="001B2188"/>
    <w:rsid w:val="001B2287"/>
    <w:rsid w:val="001B25C3"/>
    <w:rsid w:val="001B2AB6"/>
    <w:rsid w:val="001B2D5D"/>
    <w:rsid w:val="001B2ED9"/>
    <w:rsid w:val="001B3233"/>
    <w:rsid w:val="001B38EE"/>
    <w:rsid w:val="001B55AA"/>
    <w:rsid w:val="001B6451"/>
    <w:rsid w:val="001B7021"/>
    <w:rsid w:val="001B72EA"/>
    <w:rsid w:val="001B7557"/>
    <w:rsid w:val="001C01AD"/>
    <w:rsid w:val="001C06C0"/>
    <w:rsid w:val="001C07D0"/>
    <w:rsid w:val="001C12B9"/>
    <w:rsid w:val="001C16B2"/>
    <w:rsid w:val="001C2D97"/>
    <w:rsid w:val="001C2EE0"/>
    <w:rsid w:val="001C31DB"/>
    <w:rsid w:val="001C39FA"/>
    <w:rsid w:val="001C3D1F"/>
    <w:rsid w:val="001C4227"/>
    <w:rsid w:val="001C42E8"/>
    <w:rsid w:val="001C5A9A"/>
    <w:rsid w:val="001C6306"/>
    <w:rsid w:val="001C75C1"/>
    <w:rsid w:val="001D026E"/>
    <w:rsid w:val="001D127C"/>
    <w:rsid w:val="001D3830"/>
    <w:rsid w:val="001D4658"/>
    <w:rsid w:val="001D4FA3"/>
    <w:rsid w:val="001D5102"/>
    <w:rsid w:val="001D5368"/>
    <w:rsid w:val="001D5B4C"/>
    <w:rsid w:val="001D5F23"/>
    <w:rsid w:val="001D60C4"/>
    <w:rsid w:val="001D65DB"/>
    <w:rsid w:val="001D775B"/>
    <w:rsid w:val="001D7FE9"/>
    <w:rsid w:val="001E1EFB"/>
    <w:rsid w:val="001E2E7E"/>
    <w:rsid w:val="001E3AD7"/>
    <w:rsid w:val="001E42D3"/>
    <w:rsid w:val="001E44B4"/>
    <w:rsid w:val="001E4660"/>
    <w:rsid w:val="001E4C1B"/>
    <w:rsid w:val="001E6067"/>
    <w:rsid w:val="001E620B"/>
    <w:rsid w:val="001E65AD"/>
    <w:rsid w:val="001E6B31"/>
    <w:rsid w:val="001E7C87"/>
    <w:rsid w:val="001E7EF6"/>
    <w:rsid w:val="001F0F0E"/>
    <w:rsid w:val="001F1374"/>
    <w:rsid w:val="001F1AF6"/>
    <w:rsid w:val="001F2405"/>
    <w:rsid w:val="001F480F"/>
    <w:rsid w:val="001F52AB"/>
    <w:rsid w:val="001F5CC9"/>
    <w:rsid w:val="001F7C9D"/>
    <w:rsid w:val="002009C5"/>
    <w:rsid w:val="00200AC1"/>
    <w:rsid w:val="002014E6"/>
    <w:rsid w:val="00201A7C"/>
    <w:rsid w:val="0020278E"/>
    <w:rsid w:val="002032E0"/>
    <w:rsid w:val="00205229"/>
    <w:rsid w:val="00205A18"/>
    <w:rsid w:val="00206962"/>
    <w:rsid w:val="00207D24"/>
    <w:rsid w:val="002100D2"/>
    <w:rsid w:val="0021082C"/>
    <w:rsid w:val="00211F47"/>
    <w:rsid w:val="00212232"/>
    <w:rsid w:val="00212B80"/>
    <w:rsid w:val="002131EC"/>
    <w:rsid w:val="00214C48"/>
    <w:rsid w:val="002161A8"/>
    <w:rsid w:val="00216898"/>
    <w:rsid w:val="002204AC"/>
    <w:rsid w:val="002213AD"/>
    <w:rsid w:val="0022168C"/>
    <w:rsid w:val="00221BE7"/>
    <w:rsid w:val="00223375"/>
    <w:rsid w:val="00223EB2"/>
    <w:rsid w:val="002245BC"/>
    <w:rsid w:val="0022477E"/>
    <w:rsid w:val="002247AB"/>
    <w:rsid w:val="00224B56"/>
    <w:rsid w:val="00224DE2"/>
    <w:rsid w:val="0022563B"/>
    <w:rsid w:val="0022568D"/>
    <w:rsid w:val="002261ED"/>
    <w:rsid w:val="00226450"/>
    <w:rsid w:val="0022703D"/>
    <w:rsid w:val="0022755D"/>
    <w:rsid w:val="0022779E"/>
    <w:rsid w:val="0023047F"/>
    <w:rsid w:val="00230697"/>
    <w:rsid w:val="00230753"/>
    <w:rsid w:val="002308D2"/>
    <w:rsid w:val="00231439"/>
    <w:rsid w:val="00231502"/>
    <w:rsid w:val="002317C6"/>
    <w:rsid w:val="00232433"/>
    <w:rsid w:val="00232AFB"/>
    <w:rsid w:val="00232BF9"/>
    <w:rsid w:val="00233F9F"/>
    <w:rsid w:val="00234375"/>
    <w:rsid w:val="0023597B"/>
    <w:rsid w:val="00236DC8"/>
    <w:rsid w:val="002372C2"/>
    <w:rsid w:val="00240047"/>
    <w:rsid w:val="00240440"/>
    <w:rsid w:val="00240818"/>
    <w:rsid w:val="00240ACF"/>
    <w:rsid w:val="00241865"/>
    <w:rsid w:val="002420D9"/>
    <w:rsid w:val="002432D9"/>
    <w:rsid w:val="00243DE9"/>
    <w:rsid w:val="00243EDC"/>
    <w:rsid w:val="00244533"/>
    <w:rsid w:val="00245A93"/>
    <w:rsid w:val="0024607B"/>
    <w:rsid w:val="00246B1B"/>
    <w:rsid w:val="00247028"/>
    <w:rsid w:val="002470E9"/>
    <w:rsid w:val="002504D2"/>
    <w:rsid w:val="002511D2"/>
    <w:rsid w:val="002526B6"/>
    <w:rsid w:val="00252BAE"/>
    <w:rsid w:val="00252D50"/>
    <w:rsid w:val="002548A7"/>
    <w:rsid w:val="00254A79"/>
    <w:rsid w:val="0025507E"/>
    <w:rsid w:val="00256E18"/>
    <w:rsid w:val="002573A9"/>
    <w:rsid w:val="00257E5B"/>
    <w:rsid w:val="00257FE3"/>
    <w:rsid w:val="0026000A"/>
    <w:rsid w:val="00260698"/>
    <w:rsid w:val="00261748"/>
    <w:rsid w:val="00261FAE"/>
    <w:rsid w:val="00264193"/>
    <w:rsid w:val="00264431"/>
    <w:rsid w:val="00264E35"/>
    <w:rsid w:val="0026533C"/>
    <w:rsid w:val="00266057"/>
    <w:rsid w:val="00266486"/>
    <w:rsid w:val="0026684A"/>
    <w:rsid w:val="0026697D"/>
    <w:rsid w:val="00267959"/>
    <w:rsid w:val="0027011F"/>
    <w:rsid w:val="0027299B"/>
    <w:rsid w:val="00272E6F"/>
    <w:rsid w:val="00273E83"/>
    <w:rsid w:val="00274CD6"/>
    <w:rsid w:val="002775BD"/>
    <w:rsid w:val="002802E3"/>
    <w:rsid w:val="0028046A"/>
    <w:rsid w:val="00280F0E"/>
    <w:rsid w:val="0028122D"/>
    <w:rsid w:val="00281DDD"/>
    <w:rsid w:val="00281FB5"/>
    <w:rsid w:val="00282694"/>
    <w:rsid w:val="0028405A"/>
    <w:rsid w:val="00284146"/>
    <w:rsid w:val="00284300"/>
    <w:rsid w:val="00285AA4"/>
    <w:rsid w:val="00286030"/>
    <w:rsid w:val="00286F93"/>
    <w:rsid w:val="002870C1"/>
    <w:rsid w:val="00290CD5"/>
    <w:rsid w:val="00290CD9"/>
    <w:rsid w:val="002917C9"/>
    <w:rsid w:val="00292EB4"/>
    <w:rsid w:val="002930B9"/>
    <w:rsid w:val="00293717"/>
    <w:rsid w:val="002946B5"/>
    <w:rsid w:val="002948AD"/>
    <w:rsid w:val="00295C0E"/>
    <w:rsid w:val="00296540"/>
    <w:rsid w:val="002965F9"/>
    <w:rsid w:val="00297986"/>
    <w:rsid w:val="002A0490"/>
    <w:rsid w:val="002A0810"/>
    <w:rsid w:val="002A1969"/>
    <w:rsid w:val="002A1AD6"/>
    <w:rsid w:val="002A1E33"/>
    <w:rsid w:val="002A206A"/>
    <w:rsid w:val="002A29C8"/>
    <w:rsid w:val="002A3DCF"/>
    <w:rsid w:val="002A426A"/>
    <w:rsid w:val="002A47F6"/>
    <w:rsid w:val="002A4D5A"/>
    <w:rsid w:val="002A510B"/>
    <w:rsid w:val="002A518C"/>
    <w:rsid w:val="002A5390"/>
    <w:rsid w:val="002A56E1"/>
    <w:rsid w:val="002A598D"/>
    <w:rsid w:val="002A5B80"/>
    <w:rsid w:val="002A5C21"/>
    <w:rsid w:val="002A632E"/>
    <w:rsid w:val="002A6E6B"/>
    <w:rsid w:val="002B14E2"/>
    <w:rsid w:val="002B2153"/>
    <w:rsid w:val="002B29CA"/>
    <w:rsid w:val="002B2F1B"/>
    <w:rsid w:val="002B2F85"/>
    <w:rsid w:val="002B46F1"/>
    <w:rsid w:val="002B4D16"/>
    <w:rsid w:val="002B4DC0"/>
    <w:rsid w:val="002B5D6B"/>
    <w:rsid w:val="002B6531"/>
    <w:rsid w:val="002B6756"/>
    <w:rsid w:val="002B6B90"/>
    <w:rsid w:val="002B6C52"/>
    <w:rsid w:val="002B6D98"/>
    <w:rsid w:val="002B7303"/>
    <w:rsid w:val="002B7380"/>
    <w:rsid w:val="002B7558"/>
    <w:rsid w:val="002B7F3B"/>
    <w:rsid w:val="002C0305"/>
    <w:rsid w:val="002C0990"/>
    <w:rsid w:val="002C09FC"/>
    <w:rsid w:val="002C0CA1"/>
    <w:rsid w:val="002C1043"/>
    <w:rsid w:val="002C13D1"/>
    <w:rsid w:val="002C17A4"/>
    <w:rsid w:val="002C21F5"/>
    <w:rsid w:val="002C24D6"/>
    <w:rsid w:val="002C26FC"/>
    <w:rsid w:val="002C3064"/>
    <w:rsid w:val="002C30DD"/>
    <w:rsid w:val="002C35A7"/>
    <w:rsid w:val="002C5070"/>
    <w:rsid w:val="002C5744"/>
    <w:rsid w:val="002C5C0E"/>
    <w:rsid w:val="002C61AA"/>
    <w:rsid w:val="002C7F61"/>
    <w:rsid w:val="002D03DB"/>
    <w:rsid w:val="002D0A66"/>
    <w:rsid w:val="002D0F16"/>
    <w:rsid w:val="002D16F2"/>
    <w:rsid w:val="002D17EC"/>
    <w:rsid w:val="002D231C"/>
    <w:rsid w:val="002D24AB"/>
    <w:rsid w:val="002D3B3E"/>
    <w:rsid w:val="002D5556"/>
    <w:rsid w:val="002D5901"/>
    <w:rsid w:val="002D67B6"/>
    <w:rsid w:val="002D7018"/>
    <w:rsid w:val="002D706F"/>
    <w:rsid w:val="002D7473"/>
    <w:rsid w:val="002E054C"/>
    <w:rsid w:val="002E072D"/>
    <w:rsid w:val="002E07AA"/>
    <w:rsid w:val="002E0D05"/>
    <w:rsid w:val="002E1866"/>
    <w:rsid w:val="002E235A"/>
    <w:rsid w:val="002E2583"/>
    <w:rsid w:val="002E2B16"/>
    <w:rsid w:val="002E2F6F"/>
    <w:rsid w:val="002E3DB7"/>
    <w:rsid w:val="002E434C"/>
    <w:rsid w:val="002E48D8"/>
    <w:rsid w:val="002E4D37"/>
    <w:rsid w:val="002E501D"/>
    <w:rsid w:val="002E5869"/>
    <w:rsid w:val="002E59EB"/>
    <w:rsid w:val="002E5CF5"/>
    <w:rsid w:val="002E72C8"/>
    <w:rsid w:val="002E7BF3"/>
    <w:rsid w:val="002E9E56"/>
    <w:rsid w:val="002F0191"/>
    <w:rsid w:val="002F18CB"/>
    <w:rsid w:val="002F21DA"/>
    <w:rsid w:val="002F28CC"/>
    <w:rsid w:val="002F3288"/>
    <w:rsid w:val="002F373D"/>
    <w:rsid w:val="002F3F37"/>
    <w:rsid w:val="002F406A"/>
    <w:rsid w:val="002F45E4"/>
    <w:rsid w:val="002F5464"/>
    <w:rsid w:val="002F5881"/>
    <w:rsid w:val="002F7109"/>
    <w:rsid w:val="002F7188"/>
    <w:rsid w:val="00300A54"/>
    <w:rsid w:val="0030118A"/>
    <w:rsid w:val="00301DEB"/>
    <w:rsid w:val="00303019"/>
    <w:rsid w:val="00303859"/>
    <w:rsid w:val="00303E8B"/>
    <w:rsid w:val="00304FA5"/>
    <w:rsid w:val="003054ED"/>
    <w:rsid w:val="003061F1"/>
    <w:rsid w:val="003064E1"/>
    <w:rsid w:val="003066F9"/>
    <w:rsid w:val="00306813"/>
    <w:rsid w:val="00306A30"/>
    <w:rsid w:val="00306ABA"/>
    <w:rsid w:val="00306DEB"/>
    <w:rsid w:val="0030727E"/>
    <w:rsid w:val="003072A1"/>
    <w:rsid w:val="00307338"/>
    <w:rsid w:val="00307DCE"/>
    <w:rsid w:val="00310643"/>
    <w:rsid w:val="00310B33"/>
    <w:rsid w:val="003115BB"/>
    <w:rsid w:val="003126BF"/>
    <w:rsid w:val="00314540"/>
    <w:rsid w:val="0031455B"/>
    <w:rsid w:val="003146EB"/>
    <w:rsid w:val="003149C9"/>
    <w:rsid w:val="00314E4C"/>
    <w:rsid w:val="00315EB6"/>
    <w:rsid w:val="003162E1"/>
    <w:rsid w:val="00316474"/>
    <w:rsid w:val="00316BBB"/>
    <w:rsid w:val="00316CEC"/>
    <w:rsid w:val="00316D67"/>
    <w:rsid w:val="00317118"/>
    <w:rsid w:val="00317A48"/>
    <w:rsid w:val="003202CC"/>
    <w:rsid w:val="0032165B"/>
    <w:rsid w:val="00321CDA"/>
    <w:rsid w:val="00322AD1"/>
    <w:rsid w:val="003231DA"/>
    <w:rsid w:val="00323F16"/>
    <w:rsid w:val="00326A60"/>
    <w:rsid w:val="0032704D"/>
    <w:rsid w:val="00327DD7"/>
    <w:rsid w:val="003300E9"/>
    <w:rsid w:val="00330791"/>
    <w:rsid w:val="0033119B"/>
    <w:rsid w:val="003312C0"/>
    <w:rsid w:val="00331359"/>
    <w:rsid w:val="00332BEC"/>
    <w:rsid w:val="00334386"/>
    <w:rsid w:val="003346B0"/>
    <w:rsid w:val="00335CD3"/>
    <w:rsid w:val="00335F2B"/>
    <w:rsid w:val="0033627D"/>
    <w:rsid w:val="003363E6"/>
    <w:rsid w:val="0033647F"/>
    <w:rsid w:val="00336ADC"/>
    <w:rsid w:val="003373E0"/>
    <w:rsid w:val="00340895"/>
    <w:rsid w:val="0034132A"/>
    <w:rsid w:val="003419CD"/>
    <w:rsid w:val="00341ADC"/>
    <w:rsid w:val="00341EDA"/>
    <w:rsid w:val="00342819"/>
    <w:rsid w:val="00342F0F"/>
    <w:rsid w:val="00342FBA"/>
    <w:rsid w:val="0034303A"/>
    <w:rsid w:val="003448A9"/>
    <w:rsid w:val="003449FF"/>
    <w:rsid w:val="00344BAD"/>
    <w:rsid w:val="00344D9D"/>
    <w:rsid w:val="00345D07"/>
    <w:rsid w:val="00346253"/>
    <w:rsid w:val="00346CA2"/>
    <w:rsid w:val="00347461"/>
    <w:rsid w:val="00347599"/>
    <w:rsid w:val="00350DB4"/>
    <w:rsid w:val="00351196"/>
    <w:rsid w:val="00351DE7"/>
    <w:rsid w:val="00352228"/>
    <w:rsid w:val="00353D3C"/>
    <w:rsid w:val="00353F0D"/>
    <w:rsid w:val="003551A2"/>
    <w:rsid w:val="00355949"/>
    <w:rsid w:val="00355F98"/>
    <w:rsid w:val="00356031"/>
    <w:rsid w:val="00356B57"/>
    <w:rsid w:val="00357074"/>
    <w:rsid w:val="00357379"/>
    <w:rsid w:val="00357BC1"/>
    <w:rsid w:val="003603C5"/>
    <w:rsid w:val="00361251"/>
    <w:rsid w:val="00361817"/>
    <w:rsid w:val="00362002"/>
    <w:rsid w:val="00362747"/>
    <w:rsid w:val="0036277B"/>
    <w:rsid w:val="00362C74"/>
    <w:rsid w:val="00362F25"/>
    <w:rsid w:val="00363F21"/>
    <w:rsid w:val="00364A85"/>
    <w:rsid w:val="00364F19"/>
    <w:rsid w:val="00365257"/>
    <w:rsid w:val="003652A0"/>
    <w:rsid w:val="003652A8"/>
    <w:rsid w:val="00365B10"/>
    <w:rsid w:val="0036630F"/>
    <w:rsid w:val="00367141"/>
    <w:rsid w:val="00367931"/>
    <w:rsid w:val="00367EA8"/>
    <w:rsid w:val="003702FC"/>
    <w:rsid w:val="00370BF7"/>
    <w:rsid w:val="00371F7C"/>
    <w:rsid w:val="00372B91"/>
    <w:rsid w:val="00372CB0"/>
    <w:rsid w:val="00373662"/>
    <w:rsid w:val="00373901"/>
    <w:rsid w:val="0037475D"/>
    <w:rsid w:val="00374B49"/>
    <w:rsid w:val="00375278"/>
    <w:rsid w:val="003752D1"/>
    <w:rsid w:val="003757ED"/>
    <w:rsid w:val="003758BD"/>
    <w:rsid w:val="00376ED5"/>
    <w:rsid w:val="003779AD"/>
    <w:rsid w:val="00377C82"/>
    <w:rsid w:val="00377ED7"/>
    <w:rsid w:val="003807E6"/>
    <w:rsid w:val="003808BA"/>
    <w:rsid w:val="003809C1"/>
    <w:rsid w:val="003813B5"/>
    <w:rsid w:val="00383133"/>
    <w:rsid w:val="0038380C"/>
    <w:rsid w:val="003839F3"/>
    <w:rsid w:val="00383E2D"/>
    <w:rsid w:val="0038418A"/>
    <w:rsid w:val="00384BBD"/>
    <w:rsid w:val="003853CA"/>
    <w:rsid w:val="00385B80"/>
    <w:rsid w:val="00385BC0"/>
    <w:rsid w:val="0038668F"/>
    <w:rsid w:val="00387AD4"/>
    <w:rsid w:val="00387EA5"/>
    <w:rsid w:val="00390425"/>
    <w:rsid w:val="003907E6"/>
    <w:rsid w:val="00390D3A"/>
    <w:rsid w:val="003911BB"/>
    <w:rsid w:val="00391BC5"/>
    <w:rsid w:val="00392288"/>
    <w:rsid w:val="00392996"/>
    <w:rsid w:val="00393002"/>
    <w:rsid w:val="003935BE"/>
    <w:rsid w:val="00394086"/>
    <w:rsid w:val="00394AE1"/>
    <w:rsid w:val="00394D98"/>
    <w:rsid w:val="00395ECC"/>
    <w:rsid w:val="003961B3"/>
    <w:rsid w:val="003979C8"/>
    <w:rsid w:val="00397F8B"/>
    <w:rsid w:val="003A0399"/>
    <w:rsid w:val="003A094C"/>
    <w:rsid w:val="003A097E"/>
    <w:rsid w:val="003A2F71"/>
    <w:rsid w:val="003A3C8C"/>
    <w:rsid w:val="003A4060"/>
    <w:rsid w:val="003A4705"/>
    <w:rsid w:val="003A48A7"/>
    <w:rsid w:val="003A4B5B"/>
    <w:rsid w:val="003A59B2"/>
    <w:rsid w:val="003A5D05"/>
    <w:rsid w:val="003A7BA9"/>
    <w:rsid w:val="003B0218"/>
    <w:rsid w:val="003B059B"/>
    <w:rsid w:val="003B1791"/>
    <w:rsid w:val="003B1C6D"/>
    <w:rsid w:val="003B21A3"/>
    <w:rsid w:val="003B3232"/>
    <w:rsid w:val="003B37AB"/>
    <w:rsid w:val="003B44FF"/>
    <w:rsid w:val="003B4DC8"/>
    <w:rsid w:val="003B57CD"/>
    <w:rsid w:val="003B6EC1"/>
    <w:rsid w:val="003B777E"/>
    <w:rsid w:val="003B7EA8"/>
    <w:rsid w:val="003B7ECC"/>
    <w:rsid w:val="003C04BD"/>
    <w:rsid w:val="003C13BE"/>
    <w:rsid w:val="003C1E2D"/>
    <w:rsid w:val="003C25E9"/>
    <w:rsid w:val="003C2B15"/>
    <w:rsid w:val="003C2D4D"/>
    <w:rsid w:val="003C340B"/>
    <w:rsid w:val="003C4FE0"/>
    <w:rsid w:val="003C65B4"/>
    <w:rsid w:val="003C74A8"/>
    <w:rsid w:val="003C753A"/>
    <w:rsid w:val="003D149C"/>
    <w:rsid w:val="003D18DA"/>
    <w:rsid w:val="003D24D4"/>
    <w:rsid w:val="003D389C"/>
    <w:rsid w:val="003D54B6"/>
    <w:rsid w:val="003D750E"/>
    <w:rsid w:val="003E06D2"/>
    <w:rsid w:val="003E09C3"/>
    <w:rsid w:val="003E0F75"/>
    <w:rsid w:val="003E14DF"/>
    <w:rsid w:val="003E1760"/>
    <w:rsid w:val="003E17B9"/>
    <w:rsid w:val="003E21E3"/>
    <w:rsid w:val="003E3129"/>
    <w:rsid w:val="003E3547"/>
    <w:rsid w:val="003E4EEF"/>
    <w:rsid w:val="003E5591"/>
    <w:rsid w:val="003E646C"/>
    <w:rsid w:val="003E6CB0"/>
    <w:rsid w:val="003E7655"/>
    <w:rsid w:val="003F0280"/>
    <w:rsid w:val="003F03F3"/>
    <w:rsid w:val="003F0F25"/>
    <w:rsid w:val="003F148C"/>
    <w:rsid w:val="003F5E15"/>
    <w:rsid w:val="003F674C"/>
    <w:rsid w:val="003F794A"/>
    <w:rsid w:val="004004D5"/>
    <w:rsid w:val="004022A2"/>
    <w:rsid w:val="004024CB"/>
    <w:rsid w:val="004027B0"/>
    <w:rsid w:val="00402E2A"/>
    <w:rsid w:val="00402FCC"/>
    <w:rsid w:val="004049F9"/>
    <w:rsid w:val="00404F2D"/>
    <w:rsid w:val="004065B2"/>
    <w:rsid w:val="00406BB5"/>
    <w:rsid w:val="0040709F"/>
    <w:rsid w:val="00410899"/>
    <w:rsid w:val="00410C69"/>
    <w:rsid w:val="00410D93"/>
    <w:rsid w:val="0041174F"/>
    <w:rsid w:val="00411C03"/>
    <w:rsid w:val="00412D6B"/>
    <w:rsid w:val="00412EF9"/>
    <w:rsid w:val="004131AD"/>
    <w:rsid w:val="0041339E"/>
    <w:rsid w:val="00413873"/>
    <w:rsid w:val="00414788"/>
    <w:rsid w:val="00414969"/>
    <w:rsid w:val="0041517B"/>
    <w:rsid w:val="004152D3"/>
    <w:rsid w:val="0041599C"/>
    <w:rsid w:val="004167FF"/>
    <w:rsid w:val="00416F6B"/>
    <w:rsid w:val="004171AC"/>
    <w:rsid w:val="0041737D"/>
    <w:rsid w:val="004178CE"/>
    <w:rsid w:val="004200E6"/>
    <w:rsid w:val="00420533"/>
    <w:rsid w:val="004215A2"/>
    <w:rsid w:val="00421A1E"/>
    <w:rsid w:val="00422D16"/>
    <w:rsid w:val="00423136"/>
    <w:rsid w:val="00423645"/>
    <w:rsid w:val="004237BC"/>
    <w:rsid w:val="00423B90"/>
    <w:rsid w:val="00423E98"/>
    <w:rsid w:val="00424566"/>
    <w:rsid w:val="00424A65"/>
    <w:rsid w:val="00424EEF"/>
    <w:rsid w:val="00425A20"/>
    <w:rsid w:val="0042694D"/>
    <w:rsid w:val="004276D6"/>
    <w:rsid w:val="00427E61"/>
    <w:rsid w:val="00427F8A"/>
    <w:rsid w:val="0043024E"/>
    <w:rsid w:val="004308C0"/>
    <w:rsid w:val="00432075"/>
    <w:rsid w:val="00432D70"/>
    <w:rsid w:val="00433A49"/>
    <w:rsid w:val="00433D1C"/>
    <w:rsid w:val="00433D44"/>
    <w:rsid w:val="00433E9F"/>
    <w:rsid w:val="0043409A"/>
    <w:rsid w:val="00434E71"/>
    <w:rsid w:val="00435449"/>
    <w:rsid w:val="00435A65"/>
    <w:rsid w:val="0043702C"/>
    <w:rsid w:val="00437349"/>
    <w:rsid w:val="00440134"/>
    <w:rsid w:val="004405A1"/>
    <w:rsid w:val="0044316A"/>
    <w:rsid w:val="0044393B"/>
    <w:rsid w:val="004444D0"/>
    <w:rsid w:val="004449B4"/>
    <w:rsid w:val="004451D9"/>
    <w:rsid w:val="00445314"/>
    <w:rsid w:val="004457F8"/>
    <w:rsid w:val="00445990"/>
    <w:rsid w:val="00445B36"/>
    <w:rsid w:val="00445BF1"/>
    <w:rsid w:val="004468F4"/>
    <w:rsid w:val="00446AF3"/>
    <w:rsid w:val="004476E6"/>
    <w:rsid w:val="00447F61"/>
    <w:rsid w:val="00450494"/>
    <w:rsid w:val="004508E0"/>
    <w:rsid w:val="00450CA0"/>
    <w:rsid w:val="0045153A"/>
    <w:rsid w:val="004516AF"/>
    <w:rsid w:val="00451C58"/>
    <w:rsid w:val="004524A8"/>
    <w:rsid w:val="004529BA"/>
    <w:rsid w:val="00453EA4"/>
    <w:rsid w:val="00456013"/>
    <w:rsid w:val="00457916"/>
    <w:rsid w:val="00457929"/>
    <w:rsid w:val="00457CF8"/>
    <w:rsid w:val="00460A1D"/>
    <w:rsid w:val="0046138B"/>
    <w:rsid w:val="00461CB9"/>
    <w:rsid w:val="00462146"/>
    <w:rsid w:val="004623C3"/>
    <w:rsid w:val="004628BC"/>
    <w:rsid w:val="00462C45"/>
    <w:rsid w:val="00462DA0"/>
    <w:rsid w:val="00463989"/>
    <w:rsid w:val="00463BA2"/>
    <w:rsid w:val="00463E2D"/>
    <w:rsid w:val="004643BA"/>
    <w:rsid w:val="00464795"/>
    <w:rsid w:val="00464E98"/>
    <w:rsid w:val="00465058"/>
    <w:rsid w:val="004660D2"/>
    <w:rsid w:val="0046771E"/>
    <w:rsid w:val="00467724"/>
    <w:rsid w:val="00467AEA"/>
    <w:rsid w:val="00467B60"/>
    <w:rsid w:val="0047078F"/>
    <w:rsid w:val="00470A5D"/>
    <w:rsid w:val="00470C06"/>
    <w:rsid w:val="004710C4"/>
    <w:rsid w:val="004713A9"/>
    <w:rsid w:val="00471D9A"/>
    <w:rsid w:val="00471F4E"/>
    <w:rsid w:val="004726D6"/>
    <w:rsid w:val="00472F40"/>
    <w:rsid w:val="00472FE6"/>
    <w:rsid w:val="0047315E"/>
    <w:rsid w:val="00474BC6"/>
    <w:rsid w:val="0047542F"/>
    <w:rsid w:val="00475576"/>
    <w:rsid w:val="004761B8"/>
    <w:rsid w:val="00476FB9"/>
    <w:rsid w:val="00476FC7"/>
    <w:rsid w:val="004770E1"/>
    <w:rsid w:val="004774F5"/>
    <w:rsid w:val="00480461"/>
    <w:rsid w:val="00480740"/>
    <w:rsid w:val="00481083"/>
    <w:rsid w:val="00481D9C"/>
    <w:rsid w:val="00481ECD"/>
    <w:rsid w:val="00482005"/>
    <w:rsid w:val="00482540"/>
    <w:rsid w:val="004829FC"/>
    <w:rsid w:val="00482C75"/>
    <w:rsid w:val="00483033"/>
    <w:rsid w:val="00483190"/>
    <w:rsid w:val="004836CD"/>
    <w:rsid w:val="004839A5"/>
    <w:rsid w:val="00483CD6"/>
    <w:rsid w:val="00483E32"/>
    <w:rsid w:val="00484D20"/>
    <w:rsid w:val="00485177"/>
    <w:rsid w:val="004855AC"/>
    <w:rsid w:val="00487BE3"/>
    <w:rsid w:val="00487C85"/>
    <w:rsid w:val="00490D57"/>
    <w:rsid w:val="00490E49"/>
    <w:rsid w:val="00490E56"/>
    <w:rsid w:val="00491234"/>
    <w:rsid w:val="0049165D"/>
    <w:rsid w:val="0049192C"/>
    <w:rsid w:val="00493A15"/>
    <w:rsid w:val="00494268"/>
    <w:rsid w:val="0049445A"/>
    <w:rsid w:val="0049530D"/>
    <w:rsid w:val="0049621E"/>
    <w:rsid w:val="00496B1B"/>
    <w:rsid w:val="00496D70"/>
    <w:rsid w:val="0049756C"/>
    <w:rsid w:val="004A0712"/>
    <w:rsid w:val="004A0DD1"/>
    <w:rsid w:val="004A107B"/>
    <w:rsid w:val="004A1294"/>
    <w:rsid w:val="004A1869"/>
    <w:rsid w:val="004A2247"/>
    <w:rsid w:val="004A2622"/>
    <w:rsid w:val="004A2B72"/>
    <w:rsid w:val="004A32A6"/>
    <w:rsid w:val="004A4724"/>
    <w:rsid w:val="004A5FCB"/>
    <w:rsid w:val="004A6F88"/>
    <w:rsid w:val="004A7231"/>
    <w:rsid w:val="004A7927"/>
    <w:rsid w:val="004B0970"/>
    <w:rsid w:val="004B0DD1"/>
    <w:rsid w:val="004B0E60"/>
    <w:rsid w:val="004B1614"/>
    <w:rsid w:val="004B2849"/>
    <w:rsid w:val="004B2881"/>
    <w:rsid w:val="004B30B7"/>
    <w:rsid w:val="004B360B"/>
    <w:rsid w:val="004B39F5"/>
    <w:rsid w:val="004B459E"/>
    <w:rsid w:val="004B4CD9"/>
    <w:rsid w:val="004B4E35"/>
    <w:rsid w:val="004B53AC"/>
    <w:rsid w:val="004B5D31"/>
    <w:rsid w:val="004B641B"/>
    <w:rsid w:val="004B6FC0"/>
    <w:rsid w:val="004C13AD"/>
    <w:rsid w:val="004C17A7"/>
    <w:rsid w:val="004C3EA3"/>
    <w:rsid w:val="004C4040"/>
    <w:rsid w:val="004C58D2"/>
    <w:rsid w:val="004C60B2"/>
    <w:rsid w:val="004C64B5"/>
    <w:rsid w:val="004C6534"/>
    <w:rsid w:val="004C7EC9"/>
    <w:rsid w:val="004D283B"/>
    <w:rsid w:val="004D2A22"/>
    <w:rsid w:val="004D430C"/>
    <w:rsid w:val="004D432F"/>
    <w:rsid w:val="004D4531"/>
    <w:rsid w:val="004D482A"/>
    <w:rsid w:val="004D4BFB"/>
    <w:rsid w:val="004D7187"/>
    <w:rsid w:val="004D76D8"/>
    <w:rsid w:val="004D7B0F"/>
    <w:rsid w:val="004D7C85"/>
    <w:rsid w:val="004E0B04"/>
    <w:rsid w:val="004E11DB"/>
    <w:rsid w:val="004E2327"/>
    <w:rsid w:val="004E24D0"/>
    <w:rsid w:val="004E36BD"/>
    <w:rsid w:val="004E4E1A"/>
    <w:rsid w:val="004E540C"/>
    <w:rsid w:val="004E5577"/>
    <w:rsid w:val="004E588F"/>
    <w:rsid w:val="004E5B4E"/>
    <w:rsid w:val="004E6C3E"/>
    <w:rsid w:val="004E726B"/>
    <w:rsid w:val="004E7623"/>
    <w:rsid w:val="004F0E90"/>
    <w:rsid w:val="004F1CFA"/>
    <w:rsid w:val="004F1D49"/>
    <w:rsid w:val="004F3339"/>
    <w:rsid w:val="004F42D4"/>
    <w:rsid w:val="004F4344"/>
    <w:rsid w:val="004F4696"/>
    <w:rsid w:val="004F48A0"/>
    <w:rsid w:val="004F4FD7"/>
    <w:rsid w:val="004F5D97"/>
    <w:rsid w:val="004F6611"/>
    <w:rsid w:val="004F6C72"/>
    <w:rsid w:val="004F6EC4"/>
    <w:rsid w:val="004F7466"/>
    <w:rsid w:val="004F76CE"/>
    <w:rsid w:val="004F7C37"/>
    <w:rsid w:val="00500598"/>
    <w:rsid w:val="00500D95"/>
    <w:rsid w:val="00500F1A"/>
    <w:rsid w:val="0050294E"/>
    <w:rsid w:val="00502C44"/>
    <w:rsid w:val="00502CA6"/>
    <w:rsid w:val="00502E4E"/>
    <w:rsid w:val="00503779"/>
    <w:rsid w:val="00504376"/>
    <w:rsid w:val="005060E4"/>
    <w:rsid w:val="005062C7"/>
    <w:rsid w:val="00506D68"/>
    <w:rsid w:val="00507C49"/>
    <w:rsid w:val="00511621"/>
    <w:rsid w:val="00511AB5"/>
    <w:rsid w:val="00511F45"/>
    <w:rsid w:val="005123E5"/>
    <w:rsid w:val="00512C3E"/>
    <w:rsid w:val="00513AC3"/>
    <w:rsid w:val="00514A3B"/>
    <w:rsid w:val="00514C2B"/>
    <w:rsid w:val="00514EC1"/>
    <w:rsid w:val="00515318"/>
    <w:rsid w:val="00515FC2"/>
    <w:rsid w:val="00516818"/>
    <w:rsid w:val="00516E6F"/>
    <w:rsid w:val="00520052"/>
    <w:rsid w:val="00520807"/>
    <w:rsid w:val="00520BD2"/>
    <w:rsid w:val="00520D34"/>
    <w:rsid w:val="00521113"/>
    <w:rsid w:val="005211BA"/>
    <w:rsid w:val="00521240"/>
    <w:rsid w:val="00521A5B"/>
    <w:rsid w:val="00521C79"/>
    <w:rsid w:val="0052226D"/>
    <w:rsid w:val="00522C29"/>
    <w:rsid w:val="00522E4A"/>
    <w:rsid w:val="00523334"/>
    <w:rsid w:val="00523BA9"/>
    <w:rsid w:val="0052425D"/>
    <w:rsid w:val="00525653"/>
    <w:rsid w:val="00526446"/>
    <w:rsid w:val="005264A7"/>
    <w:rsid w:val="00526EEE"/>
    <w:rsid w:val="00527424"/>
    <w:rsid w:val="00527D00"/>
    <w:rsid w:val="00527E43"/>
    <w:rsid w:val="0053026D"/>
    <w:rsid w:val="00530CCC"/>
    <w:rsid w:val="00530E3D"/>
    <w:rsid w:val="00531945"/>
    <w:rsid w:val="0053216E"/>
    <w:rsid w:val="0053423E"/>
    <w:rsid w:val="005348AE"/>
    <w:rsid w:val="00534EAD"/>
    <w:rsid w:val="005365AC"/>
    <w:rsid w:val="00537449"/>
    <w:rsid w:val="0053754D"/>
    <w:rsid w:val="00537743"/>
    <w:rsid w:val="005377A2"/>
    <w:rsid w:val="00540D92"/>
    <w:rsid w:val="005419F2"/>
    <w:rsid w:val="005429C9"/>
    <w:rsid w:val="00543950"/>
    <w:rsid w:val="00543E83"/>
    <w:rsid w:val="005454EE"/>
    <w:rsid w:val="0054602A"/>
    <w:rsid w:val="00546793"/>
    <w:rsid w:val="00547B5A"/>
    <w:rsid w:val="005500A8"/>
    <w:rsid w:val="0055123F"/>
    <w:rsid w:val="0055217B"/>
    <w:rsid w:val="00552C33"/>
    <w:rsid w:val="0055309F"/>
    <w:rsid w:val="00553133"/>
    <w:rsid w:val="00553D36"/>
    <w:rsid w:val="005543D1"/>
    <w:rsid w:val="00554444"/>
    <w:rsid w:val="00554C89"/>
    <w:rsid w:val="00555055"/>
    <w:rsid w:val="00555F66"/>
    <w:rsid w:val="00556D5A"/>
    <w:rsid w:val="00557081"/>
    <w:rsid w:val="00557151"/>
    <w:rsid w:val="00560249"/>
    <w:rsid w:val="005615F3"/>
    <w:rsid w:val="00561A2F"/>
    <w:rsid w:val="00562653"/>
    <w:rsid w:val="0056290B"/>
    <w:rsid w:val="00563A93"/>
    <w:rsid w:val="00563D7F"/>
    <w:rsid w:val="00564C16"/>
    <w:rsid w:val="00564F15"/>
    <w:rsid w:val="00565C83"/>
    <w:rsid w:val="00565CA6"/>
    <w:rsid w:val="005663B7"/>
    <w:rsid w:val="00566792"/>
    <w:rsid w:val="00567CCF"/>
    <w:rsid w:val="0057073C"/>
    <w:rsid w:val="005707EE"/>
    <w:rsid w:val="005709F2"/>
    <w:rsid w:val="00570D60"/>
    <w:rsid w:val="00570DC5"/>
    <w:rsid w:val="00570EFF"/>
    <w:rsid w:val="00571956"/>
    <w:rsid w:val="0057198A"/>
    <w:rsid w:val="005743F5"/>
    <w:rsid w:val="00575468"/>
    <w:rsid w:val="0057762D"/>
    <w:rsid w:val="00577855"/>
    <w:rsid w:val="00577B5B"/>
    <w:rsid w:val="00577CEB"/>
    <w:rsid w:val="0058064F"/>
    <w:rsid w:val="005808D4"/>
    <w:rsid w:val="00581571"/>
    <w:rsid w:val="00581592"/>
    <w:rsid w:val="00581D63"/>
    <w:rsid w:val="0058216C"/>
    <w:rsid w:val="005826CC"/>
    <w:rsid w:val="00582CB8"/>
    <w:rsid w:val="00583F1E"/>
    <w:rsid w:val="005840EB"/>
    <w:rsid w:val="005853AA"/>
    <w:rsid w:val="00585CF6"/>
    <w:rsid w:val="00585D81"/>
    <w:rsid w:val="0058621F"/>
    <w:rsid w:val="00586716"/>
    <w:rsid w:val="0059002A"/>
    <w:rsid w:val="00590895"/>
    <w:rsid w:val="00590C23"/>
    <w:rsid w:val="00590E90"/>
    <w:rsid w:val="00591200"/>
    <w:rsid w:val="005918C4"/>
    <w:rsid w:val="00591F79"/>
    <w:rsid w:val="00592F0F"/>
    <w:rsid w:val="00592F7D"/>
    <w:rsid w:val="005939C2"/>
    <w:rsid w:val="00594015"/>
    <w:rsid w:val="005950A8"/>
    <w:rsid w:val="0059565F"/>
    <w:rsid w:val="00595CF8"/>
    <w:rsid w:val="00595F62"/>
    <w:rsid w:val="005961FB"/>
    <w:rsid w:val="005A0BD2"/>
    <w:rsid w:val="005A1529"/>
    <w:rsid w:val="005A4816"/>
    <w:rsid w:val="005A4B1F"/>
    <w:rsid w:val="005A66F9"/>
    <w:rsid w:val="005A72EB"/>
    <w:rsid w:val="005A7FF5"/>
    <w:rsid w:val="005B0554"/>
    <w:rsid w:val="005B06F1"/>
    <w:rsid w:val="005B110E"/>
    <w:rsid w:val="005B2A45"/>
    <w:rsid w:val="005B32F8"/>
    <w:rsid w:val="005B3354"/>
    <w:rsid w:val="005B3DA3"/>
    <w:rsid w:val="005B4E33"/>
    <w:rsid w:val="005B5471"/>
    <w:rsid w:val="005B617B"/>
    <w:rsid w:val="005B7E85"/>
    <w:rsid w:val="005C0C16"/>
    <w:rsid w:val="005C0D4B"/>
    <w:rsid w:val="005C102C"/>
    <w:rsid w:val="005C12B5"/>
    <w:rsid w:val="005C15E8"/>
    <w:rsid w:val="005C18EF"/>
    <w:rsid w:val="005C2179"/>
    <w:rsid w:val="005C30F0"/>
    <w:rsid w:val="005C4E43"/>
    <w:rsid w:val="005C537B"/>
    <w:rsid w:val="005C55CC"/>
    <w:rsid w:val="005C5A57"/>
    <w:rsid w:val="005C5F93"/>
    <w:rsid w:val="005C7E8B"/>
    <w:rsid w:val="005D04E4"/>
    <w:rsid w:val="005D0A5E"/>
    <w:rsid w:val="005D1454"/>
    <w:rsid w:val="005D1D30"/>
    <w:rsid w:val="005D1F95"/>
    <w:rsid w:val="005D29AF"/>
    <w:rsid w:val="005D2B40"/>
    <w:rsid w:val="005D3772"/>
    <w:rsid w:val="005D3C5B"/>
    <w:rsid w:val="005D544D"/>
    <w:rsid w:val="005D552E"/>
    <w:rsid w:val="005D5CDA"/>
    <w:rsid w:val="005D6BD6"/>
    <w:rsid w:val="005D6FEF"/>
    <w:rsid w:val="005D76B2"/>
    <w:rsid w:val="005D785F"/>
    <w:rsid w:val="005D790C"/>
    <w:rsid w:val="005E1A44"/>
    <w:rsid w:val="005E1A98"/>
    <w:rsid w:val="005E1B2C"/>
    <w:rsid w:val="005E361D"/>
    <w:rsid w:val="005E417B"/>
    <w:rsid w:val="005E464C"/>
    <w:rsid w:val="005E489D"/>
    <w:rsid w:val="005E4E91"/>
    <w:rsid w:val="005E50C2"/>
    <w:rsid w:val="005E5339"/>
    <w:rsid w:val="005E5843"/>
    <w:rsid w:val="005E67AC"/>
    <w:rsid w:val="005E6B7D"/>
    <w:rsid w:val="005E7145"/>
    <w:rsid w:val="005E7CB0"/>
    <w:rsid w:val="005F1316"/>
    <w:rsid w:val="005F19F3"/>
    <w:rsid w:val="005F1B1C"/>
    <w:rsid w:val="005F2700"/>
    <w:rsid w:val="005F39F3"/>
    <w:rsid w:val="005F44C7"/>
    <w:rsid w:val="005F4504"/>
    <w:rsid w:val="005F4600"/>
    <w:rsid w:val="005F5186"/>
    <w:rsid w:val="005F556D"/>
    <w:rsid w:val="005F61CB"/>
    <w:rsid w:val="005F6459"/>
    <w:rsid w:val="005F66E0"/>
    <w:rsid w:val="005F6A12"/>
    <w:rsid w:val="005F6E45"/>
    <w:rsid w:val="005F6F91"/>
    <w:rsid w:val="005F7E32"/>
    <w:rsid w:val="006000F7"/>
    <w:rsid w:val="00600211"/>
    <w:rsid w:val="0060098B"/>
    <w:rsid w:val="00600ABF"/>
    <w:rsid w:val="00600CBF"/>
    <w:rsid w:val="00601F6C"/>
    <w:rsid w:val="0060247D"/>
    <w:rsid w:val="00602907"/>
    <w:rsid w:val="0060323B"/>
    <w:rsid w:val="00604C01"/>
    <w:rsid w:val="0060791B"/>
    <w:rsid w:val="0061011E"/>
    <w:rsid w:val="00611AAE"/>
    <w:rsid w:val="00611C1C"/>
    <w:rsid w:val="00612835"/>
    <w:rsid w:val="00612964"/>
    <w:rsid w:val="00612998"/>
    <w:rsid w:val="00612C24"/>
    <w:rsid w:val="00613241"/>
    <w:rsid w:val="00613997"/>
    <w:rsid w:val="00613DC6"/>
    <w:rsid w:val="00613EFF"/>
    <w:rsid w:val="00616138"/>
    <w:rsid w:val="00616721"/>
    <w:rsid w:val="00616F53"/>
    <w:rsid w:val="0061706A"/>
    <w:rsid w:val="00617CBC"/>
    <w:rsid w:val="00617DB2"/>
    <w:rsid w:val="00622246"/>
    <w:rsid w:val="006228A5"/>
    <w:rsid w:val="00622E7D"/>
    <w:rsid w:val="00623182"/>
    <w:rsid w:val="00623B70"/>
    <w:rsid w:val="006242A2"/>
    <w:rsid w:val="00624695"/>
    <w:rsid w:val="00624B34"/>
    <w:rsid w:val="00625164"/>
    <w:rsid w:val="0062540B"/>
    <w:rsid w:val="00626BAE"/>
    <w:rsid w:val="00626E25"/>
    <w:rsid w:val="006279B6"/>
    <w:rsid w:val="006300C6"/>
    <w:rsid w:val="00630843"/>
    <w:rsid w:val="00630CA9"/>
    <w:rsid w:val="00632784"/>
    <w:rsid w:val="0063294E"/>
    <w:rsid w:val="00633378"/>
    <w:rsid w:val="0063347D"/>
    <w:rsid w:val="00633863"/>
    <w:rsid w:val="006338F4"/>
    <w:rsid w:val="00635122"/>
    <w:rsid w:val="00635CFE"/>
    <w:rsid w:val="006361E0"/>
    <w:rsid w:val="00637DC4"/>
    <w:rsid w:val="00640003"/>
    <w:rsid w:val="006401E1"/>
    <w:rsid w:val="00640DCB"/>
    <w:rsid w:val="00640DF6"/>
    <w:rsid w:val="006417FF"/>
    <w:rsid w:val="00643FC4"/>
    <w:rsid w:val="00644D13"/>
    <w:rsid w:val="006451C8"/>
    <w:rsid w:val="006459EF"/>
    <w:rsid w:val="006469AE"/>
    <w:rsid w:val="00647489"/>
    <w:rsid w:val="00647A43"/>
    <w:rsid w:val="006506A0"/>
    <w:rsid w:val="00650E30"/>
    <w:rsid w:val="00650FC1"/>
    <w:rsid w:val="0065125E"/>
    <w:rsid w:val="00651ADC"/>
    <w:rsid w:val="00651F7F"/>
    <w:rsid w:val="00652217"/>
    <w:rsid w:val="006523B5"/>
    <w:rsid w:val="00652676"/>
    <w:rsid w:val="0065341C"/>
    <w:rsid w:val="0065345F"/>
    <w:rsid w:val="00653E0B"/>
    <w:rsid w:val="00653F23"/>
    <w:rsid w:val="00654AB1"/>
    <w:rsid w:val="00655FF8"/>
    <w:rsid w:val="00656B0A"/>
    <w:rsid w:val="00656C1F"/>
    <w:rsid w:val="00657785"/>
    <w:rsid w:val="00660D49"/>
    <w:rsid w:val="0066217B"/>
    <w:rsid w:val="00662E57"/>
    <w:rsid w:val="00663BC0"/>
    <w:rsid w:val="00663F80"/>
    <w:rsid w:val="00664588"/>
    <w:rsid w:val="006647AC"/>
    <w:rsid w:val="006649C8"/>
    <w:rsid w:val="0066673F"/>
    <w:rsid w:val="00666829"/>
    <w:rsid w:val="00666976"/>
    <w:rsid w:val="0067009C"/>
    <w:rsid w:val="0067093B"/>
    <w:rsid w:val="006710EE"/>
    <w:rsid w:val="006711F9"/>
    <w:rsid w:val="00671430"/>
    <w:rsid w:val="0067173B"/>
    <w:rsid w:val="00673285"/>
    <w:rsid w:val="006738A6"/>
    <w:rsid w:val="0067491F"/>
    <w:rsid w:val="00675557"/>
    <w:rsid w:val="00675DF9"/>
    <w:rsid w:val="00675F67"/>
    <w:rsid w:val="006773E2"/>
    <w:rsid w:val="00677EA7"/>
    <w:rsid w:val="006808E0"/>
    <w:rsid w:val="00680FDF"/>
    <w:rsid w:val="00682198"/>
    <w:rsid w:val="00682706"/>
    <w:rsid w:val="00682B1B"/>
    <w:rsid w:val="006830A9"/>
    <w:rsid w:val="00683530"/>
    <w:rsid w:val="00683B6A"/>
    <w:rsid w:val="00683D1C"/>
    <w:rsid w:val="0068441D"/>
    <w:rsid w:val="00685726"/>
    <w:rsid w:val="00685DB9"/>
    <w:rsid w:val="00686C01"/>
    <w:rsid w:val="006879A6"/>
    <w:rsid w:val="006879AD"/>
    <w:rsid w:val="00690BE6"/>
    <w:rsid w:val="0069151A"/>
    <w:rsid w:val="0069184C"/>
    <w:rsid w:val="00691DE7"/>
    <w:rsid w:val="00691E83"/>
    <w:rsid w:val="00693982"/>
    <w:rsid w:val="00695894"/>
    <w:rsid w:val="00696438"/>
    <w:rsid w:val="00697375"/>
    <w:rsid w:val="006974D9"/>
    <w:rsid w:val="00697564"/>
    <w:rsid w:val="00697CF4"/>
    <w:rsid w:val="006A22D7"/>
    <w:rsid w:val="006A248A"/>
    <w:rsid w:val="006A2FDE"/>
    <w:rsid w:val="006A343A"/>
    <w:rsid w:val="006A3D37"/>
    <w:rsid w:val="006A4BAC"/>
    <w:rsid w:val="006A4C13"/>
    <w:rsid w:val="006A4D02"/>
    <w:rsid w:val="006A4D5C"/>
    <w:rsid w:val="006A5638"/>
    <w:rsid w:val="006A588C"/>
    <w:rsid w:val="006A5F69"/>
    <w:rsid w:val="006A707B"/>
    <w:rsid w:val="006A7DC3"/>
    <w:rsid w:val="006A7E52"/>
    <w:rsid w:val="006B0042"/>
    <w:rsid w:val="006B0B04"/>
    <w:rsid w:val="006B1564"/>
    <w:rsid w:val="006B16B8"/>
    <w:rsid w:val="006B1A24"/>
    <w:rsid w:val="006B2F0E"/>
    <w:rsid w:val="006B3F9A"/>
    <w:rsid w:val="006B645D"/>
    <w:rsid w:val="006B746F"/>
    <w:rsid w:val="006B7974"/>
    <w:rsid w:val="006B7B3C"/>
    <w:rsid w:val="006B7DC1"/>
    <w:rsid w:val="006C05CA"/>
    <w:rsid w:val="006C1E97"/>
    <w:rsid w:val="006C1F73"/>
    <w:rsid w:val="006C3157"/>
    <w:rsid w:val="006C38AB"/>
    <w:rsid w:val="006C4A45"/>
    <w:rsid w:val="006C59B1"/>
    <w:rsid w:val="006C661A"/>
    <w:rsid w:val="006C6BD4"/>
    <w:rsid w:val="006C72CA"/>
    <w:rsid w:val="006D01E8"/>
    <w:rsid w:val="006D048F"/>
    <w:rsid w:val="006D07C8"/>
    <w:rsid w:val="006D0E3D"/>
    <w:rsid w:val="006D13C4"/>
    <w:rsid w:val="006D183D"/>
    <w:rsid w:val="006D18EC"/>
    <w:rsid w:val="006D1DEA"/>
    <w:rsid w:val="006D2685"/>
    <w:rsid w:val="006D27F9"/>
    <w:rsid w:val="006D28CE"/>
    <w:rsid w:val="006D31CB"/>
    <w:rsid w:val="006D421F"/>
    <w:rsid w:val="006D4234"/>
    <w:rsid w:val="006D50A1"/>
    <w:rsid w:val="006D533B"/>
    <w:rsid w:val="006D5CF8"/>
    <w:rsid w:val="006D6149"/>
    <w:rsid w:val="006D6C78"/>
    <w:rsid w:val="006D6DE8"/>
    <w:rsid w:val="006D79FD"/>
    <w:rsid w:val="006D7A8F"/>
    <w:rsid w:val="006E0114"/>
    <w:rsid w:val="006E047E"/>
    <w:rsid w:val="006E059A"/>
    <w:rsid w:val="006E070E"/>
    <w:rsid w:val="006E0712"/>
    <w:rsid w:val="006E0BEF"/>
    <w:rsid w:val="006E0CA3"/>
    <w:rsid w:val="006E16BA"/>
    <w:rsid w:val="006E2131"/>
    <w:rsid w:val="006E2C74"/>
    <w:rsid w:val="006E2F34"/>
    <w:rsid w:val="006E3599"/>
    <w:rsid w:val="006E35CA"/>
    <w:rsid w:val="006E3D2D"/>
    <w:rsid w:val="006E4052"/>
    <w:rsid w:val="006E4580"/>
    <w:rsid w:val="006E4EF6"/>
    <w:rsid w:val="006E6023"/>
    <w:rsid w:val="006E621F"/>
    <w:rsid w:val="006E6415"/>
    <w:rsid w:val="006E6740"/>
    <w:rsid w:val="006E68A6"/>
    <w:rsid w:val="006F0BE2"/>
    <w:rsid w:val="006F0CE2"/>
    <w:rsid w:val="006F0F88"/>
    <w:rsid w:val="006F197A"/>
    <w:rsid w:val="006F1D5F"/>
    <w:rsid w:val="006F3FB3"/>
    <w:rsid w:val="006F44A9"/>
    <w:rsid w:val="006F475C"/>
    <w:rsid w:val="006F5232"/>
    <w:rsid w:val="006F5CAC"/>
    <w:rsid w:val="006F5DB8"/>
    <w:rsid w:val="006F5FF3"/>
    <w:rsid w:val="006F6097"/>
    <w:rsid w:val="006F6A4E"/>
    <w:rsid w:val="006F781B"/>
    <w:rsid w:val="006F796C"/>
    <w:rsid w:val="006F7D1B"/>
    <w:rsid w:val="007016AA"/>
    <w:rsid w:val="00701A71"/>
    <w:rsid w:val="00701B40"/>
    <w:rsid w:val="0070347C"/>
    <w:rsid w:val="00703D83"/>
    <w:rsid w:val="007050BD"/>
    <w:rsid w:val="00705433"/>
    <w:rsid w:val="007055E5"/>
    <w:rsid w:val="00705BAC"/>
    <w:rsid w:val="00705CE4"/>
    <w:rsid w:val="00705EE1"/>
    <w:rsid w:val="00706C05"/>
    <w:rsid w:val="00706E8B"/>
    <w:rsid w:val="00707984"/>
    <w:rsid w:val="0071093B"/>
    <w:rsid w:val="00711E1A"/>
    <w:rsid w:val="00712B82"/>
    <w:rsid w:val="00713059"/>
    <w:rsid w:val="00713774"/>
    <w:rsid w:val="00713F5E"/>
    <w:rsid w:val="00714209"/>
    <w:rsid w:val="00714A84"/>
    <w:rsid w:val="007150E6"/>
    <w:rsid w:val="007160A8"/>
    <w:rsid w:val="00716416"/>
    <w:rsid w:val="007173DD"/>
    <w:rsid w:val="007176BA"/>
    <w:rsid w:val="00717D52"/>
    <w:rsid w:val="007209DF"/>
    <w:rsid w:val="00720B5B"/>
    <w:rsid w:val="00721965"/>
    <w:rsid w:val="00722C96"/>
    <w:rsid w:val="007233B8"/>
    <w:rsid w:val="00723429"/>
    <w:rsid w:val="00723CF0"/>
    <w:rsid w:val="00724AF6"/>
    <w:rsid w:val="00725050"/>
    <w:rsid w:val="007255C8"/>
    <w:rsid w:val="00725937"/>
    <w:rsid w:val="00725A6A"/>
    <w:rsid w:val="00725EC5"/>
    <w:rsid w:val="00726FE4"/>
    <w:rsid w:val="00727BD1"/>
    <w:rsid w:val="00731573"/>
    <w:rsid w:val="00731774"/>
    <w:rsid w:val="00731DF7"/>
    <w:rsid w:val="0073227E"/>
    <w:rsid w:val="0073244D"/>
    <w:rsid w:val="00733083"/>
    <w:rsid w:val="00733309"/>
    <w:rsid w:val="0073356F"/>
    <w:rsid w:val="0073429A"/>
    <w:rsid w:val="007345CB"/>
    <w:rsid w:val="007347A6"/>
    <w:rsid w:val="00735064"/>
    <w:rsid w:val="0073516E"/>
    <w:rsid w:val="007363C1"/>
    <w:rsid w:val="00736F23"/>
    <w:rsid w:val="0073728F"/>
    <w:rsid w:val="00741052"/>
    <w:rsid w:val="0074282F"/>
    <w:rsid w:val="00742BD0"/>
    <w:rsid w:val="007437F9"/>
    <w:rsid w:val="00744DC1"/>
    <w:rsid w:val="0074507B"/>
    <w:rsid w:val="00745248"/>
    <w:rsid w:val="00745FF3"/>
    <w:rsid w:val="007468D5"/>
    <w:rsid w:val="007477ED"/>
    <w:rsid w:val="007502D2"/>
    <w:rsid w:val="00751397"/>
    <w:rsid w:val="007520C8"/>
    <w:rsid w:val="007520E0"/>
    <w:rsid w:val="0075261D"/>
    <w:rsid w:val="007531CF"/>
    <w:rsid w:val="0075378F"/>
    <w:rsid w:val="00753982"/>
    <w:rsid w:val="00753A57"/>
    <w:rsid w:val="00753A87"/>
    <w:rsid w:val="00753ED7"/>
    <w:rsid w:val="007542CC"/>
    <w:rsid w:val="0075482E"/>
    <w:rsid w:val="00754AB1"/>
    <w:rsid w:val="007553DD"/>
    <w:rsid w:val="00755778"/>
    <w:rsid w:val="0075602F"/>
    <w:rsid w:val="007562B1"/>
    <w:rsid w:val="00756551"/>
    <w:rsid w:val="007610BA"/>
    <w:rsid w:val="00761214"/>
    <w:rsid w:val="007616E5"/>
    <w:rsid w:val="0076253A"/>
    <w:rsid w:val="00762DF8"/>
    <w:rsid w:val="00763590"/>
    <w:rsid w:val="00763CCA"/>
    <w:rsid w:val="00763F00"/>
    <w:rsid w:val="00764FFD"/>
    <w:rsid w:val="00765855"/>
    <w:rsid w:val="007659D8"/>
    <w:rsid w:val="00766251"/>
    <w:rsid w:val="00766373"/>
    <w:rsid w:val="0076651F"/>
    <w:rsid w:val="00766EFC"/>
    <w:rsid w:val="007674A5"/>
    <w:rsid w:val="007675CD"/>
    <w:rsid w:val="007676E8"/>
    <w:rsid w:val="0076793C"/>
    <w:rsid w:val="00767A42"/>
    <w:rsid w:val="00767EDC"/>
    <w:rsid w:val="00770184"/>
    <w:rsid w:val="00770798"/>
    <w:rsid w:val="00771F52"/>
    <w:rsid w:val="00771FE1"/>
    <w:rsid w:val="00772BED"/>
    <w:rsid w:val="0077307D"/>
    <w:rsid w:val="00773360"/>
    <w:rsid w:val="00774610"/>
    <w:rsid w:val="00774B4B"/>
    <w:rsid w:val="00774DA9"/>
    <w:rsid w:val="00774DB0"/>
    <w:rsid w:val="007756D0"/>
    <w:rsid w:val="00775BD3"/>
    <w:rsid w:val="0077797F"/>
    <w:rsid w:val="00780B46"/>
    <w:rsid w:val="00780F6A"/>
    <w:rsid w:val="00781F33"/>
    <w:rsid w:val="00782146"/>
    <w:rsid w:val="007829A7"/>
    <w:rsid w:val="00782C18"/>
    <w:rsid w:val="00782E90"/>
    <w:rsid w:val="007837B5"/>
    <w:rsid w:val="00783EAE"/>
    <w:rsid w:val="00784412"/>
    <w:rsid w:val="007846B2"/>
    <w:rsid w:val="007871D0"/>
    <w:rsid w:val="00790467"/>
    <w:rsid w:val="00790683"/>
    <w:rsid w:val="00791E3F"/>
    <w:rsid w:val="007921CA"/>
    <w:rsid w:val="00792405"/>
    <w:rsid w:val="00792D1C"/>
    <w:rsid w:val="0079344F"/>
    <w:rsid w:val="00793B1E"/>
    <w:rsid w:val="0079417C"/>
    <w:rsid w:val="00794AAA"/>
    <w:rsid w:val="0079581E"/>
    <w:rsid w:val="00795907"/>
    <w:rsid w:val="0079613B"/>
    <w:rsid w:val="0079661C"/>
    <w:rsid w:val="007973CE"/>
    <w:rsid w:val="007A1B11"/>
    <w:rsid w:val="007A27EC"/>
    <w:rsid w:val="007A2B05"/>
    <w:rsid w:val="007A2CD5"/>
    <w:rsid w:val="007A3204"/>
    <w:rsid w:val="007A361E"/>
    <w:rsid w:val="007A4304"/>
    <w:rsid w:val="007A4A03"/>
    <w:rsid w:val="007A4A84"/>
    <w:rsid w:val="007A4B05"/>
    <w:rsid w:val="007A6490"/>
    <w:rsid w:val="007A6768"/>
    <w:rsid w:val="007A6C7F"/>
    <w:rsid w:val="007A70DD"/>
    <w:rsid w:val="007A7CEA"/>
    <w:rsid w:val="007B1EE5"/>
    <w:rsid w:val="007B277D"/>
    <w:rsid w:val="007B2E19"/>
    <w:rsid w:val="007B4339"/>
    <w:rsid w:val="007B4839"/>
    <w:rsid w:val="007B5673"/>
    <w:rsid w:val="007B588B"/>
    <w:rsid w:val="007B5C1E"/>
    <w:rsid w:val="007B5D4C"/>
    <w:rsid w:val="007B5F92"/>
    <w:rsid w:val="007B6D79"/>
    <w:rsid w:val="007B6DAF"/>
    <w:rsid w:val="007B6E89"/>
    <w:rsid w:val="007B715B"/>
    <w:rsid w:val="007B788F"/>
    <w:rsid w:val="007C0DEB"/>
    <w:rsid w:val="007C0EB2"/>
    <w:rsid w:val="007C27DD"/>
    <w:rsid w:val="007C2E22"/>
    <w:rsid w:val="007C2F76"/>
    <w:rsid w:val="007C3363"/>
    <w:rsid w:val="007C3B04"/>
    <w:rsid w:val="007C40E6"/>
    <w:rsid w:val="007C4BF6"/>
    <w:rsid w:val="007C51BF"/>
    <w:rsid w:val="007C5BE8"/>
    <w:rsid w:val="007C5C33"/>
    <w:rsid w:val="007C6891"/>
    <w:rsid w:val="007D0171"/>
    <w:rsid w:val="007D0422"/>
    <w:rsid w:val="007D0491"/>
    <w:rsid w:val="007D083C"/>
    <w:rsid w:val="007D20C0"/>
    <w:rsid w:val="007D2131"/>
    <w:rsid w:val="007D3469"/>
    <w:rsid w:val="007D384F"/>
    <w:rsid w:val="007D3AB5"/>
    <w:rsid w:val="007D4260"/>
    <w:rsid w:val="007D428D"/>
    <w:rsid w:val="007D474D"/>
    <w:rsid w:val="007D49DE"/>
    <w:rsid w:val="007D65D8"/>
    <w:rsid w:val="007E01DE"/>
    <w:rsid w:val="007E027B"/>
    <w:rsid w:val="007E0A52"/>
    <w:rsid w:val="007E0D73"/>
    <w:rsid w:val="007E2530"/>
    <w:rsid w:val="007E2848"/>
    <w:rsid w:val="007E2D44"/>
    <w:rsid w:val="007E3020"/>
    <w:rsid w:val="007E3256"/>
    <w:rsid w:val="007E35C7"/>
    <w:rsid w:val="007E44C6"/>
    <w:rsid w:val="007E4578"/>
    <w:rsid w:val="007E463B"/>
    <w:rsid w:val="007E4B1B"/>
    <w:rsid w:val="007E550D"/>
    <w:rsid w:val="007E598C"/>
    <w:rsid w:val="007E6484"/>
    <w:rsid w:val="007E64CA"/>
    <w:rsid w:val="007E6FC5"/>
    <w:rsid w:val="007E7AC6"/>
    <w:rsid w:val="007E7CBC"/>
    <w:rsid w:val="007E7D65"/>
    <w:rsid w:val="007E7F80"/>
    <w:rsid w:val="007E7FB2"/>
    <w:rsid w:val="007F08A0"/>
    <w:rsid w:val="007F131F"/>
    <w:rsid w:val="007F4374"/>
    <w:rsid w:val="007F4499"/>
    <w:rsid w:val="007F6F27"/>
    <w:rsid w:val="0080043B"/>
    <w:rsid w:val="008005DE"/>
    <w:rsid w:val="008005EF"/>
    <w:rsid w:val="00800BEA"/>
    <w:rsid w:val="008015A8"/>
    <w:rsid w:val="008017A5"/>
    <w:rsid w:val="008019E0"/>
    <w:rsid w:val="00802433"/>
    <w:rsid w:val="008025AD"/>
    <w:rsid w:val="008027BD"/>
    <w:rsid w:val="00802B01"/>
    <w:rsid w:val="00803433"/>
    <w:rsid w:val="00803665"/>
    <w:rsid w:val="00804526"/>
    <w:rsid w:val="00804B21"/>
    <w:rsid w:val="00804C2A"/>
    <w:rsid w:val="00805C72"/>
    <w:rsid w:val="00806724"/>
    <w:rsid w:val="008067EC"/>
    <w:rsid w:val="0080773A"/>
    <w:rsid w:val="00807D19"/>
    <w:rsid w:val="00811612"/>
    <w:rsid w:val="008119AB"/>
    <w:rsid w:val="00812EF4"/>
    <w:rsid w:val="0081318C"/>
    <w:rsid w:val="00814446"/>
    <w:rsid w:val="00816824"/>
    <w:rsid w:val="00817040"/>
    <w:rsid w:val="0081770F"/>
    <w:rsid w:val="008177D9"/>
    <w:rsid w:val="00817AED"/>
    <w:rsid w:val="00817B17"/>
    <w:rsid w:val="00817B8A"/>
    <w:rsid w:val="00817D69"/>
    <w:rsid w:val="00820C22"/>
    <w:rsid w:val="00821174"/>
    <w:rsid w:val="00822C4D"/>
    <w:rsid w:val="00823745"/>
    <w:rsid w:val="008246F9"/>
    <w:rsid w:val="00824D94"/>
    <w:rsid w:val="00824ED1"/>
    <w:rsid w:val="008262FD"/>
    <w:rsid w:val="00827802"/>
    <w:rsid w:val="00827B5D"/>
    <w:rsid w:val="00827E14"/>
    <w:rsid w:val="00827E41"/>
    <w:rsid w:val="00831599"/>
    <w:rsid w:val="00831C41"/>
    <w:rsid w:val="00831C6B"/>
    <w:rsid w:val="0083365C"/>
    <w:rsid w:val="008336F9"/>
    <w:rsid w:val="008352C1"/>
    <w:rsid w:val="00835747"/>
    <w:rsid w:val="00836C2B"/>
    <w:rsid w:val="00837A6D"/>
    <w:rsid w:val="00837C03"/>
    <w:rsid w:val="0084042D"/>
    <w:rsid w:val="00841822"/>
    <w:rsid w:val="00841B6B"/>
    <w:rsid w:val="0084235D"/>
    <w:rsid w:val="00842AD0"/>
    <w:rsid w:val="00843534"/>
    <w:rsid w:val="00843731"/>
    <w:rsid w:val="008443A6"/>
    <w:rsid w:val="00844872"/>
    <w:rsid w:val="00844DF5"/>
    <w:rsid w:val="00844F50"/>
    <w:rsid w:val="00846236"/>
    <w:rsid w:val="008501BD"/>
    <w:rsid w:val="008525A0"/>
    <w:rsid w:val="00852789"/>
    <w:rsid w:val="0085366B"/>
    <w:rsid w:val="00853950"/>
    <w:rsid w:val="0085419F"/>
    <w:rsid w:val="00855849"/>
    <w:rsid w:val="008558C7"/>
    <w:rsid w:val="008573EE"/>
    <w:rsid w:val="0085770C"/>
    <w:rsid w:val="00857A79"/>
    <w:rsid w:val="00857B79"/>
    <w:rsid w:val="00860B74"/>
    <w:rsid w:val="00861379"/>
    <w:rsid w:val="00861C41"/>
    <w:rsid w:val="00861DD1"/>
    <w:rsid w:val="008627EA"/>
    <w:rsid w:val="00862F6B"/>
    <w:rsid w:val="00863E0C"/>
    <w:rsid w:val="00864C69"/>
    <w:rsid w:val="00865042"/>
    <w:rsid w:val="008650E8"/>
    <w:rsid w:val="00865599"/>
    <w:rsid w:val="00865AA5"/>
    <w:rsid w:val="0086639A"/>
    <w:rsid w:val="0086763C"/>
    <w:rsid w:val="00867B75"/>
    <w:rsid w:val="00867F74"/>
    <w:rsid w:val="00870081"/>
    <w:rsid w:val="00870B55"/>
    <w:rsid w:val="0087139B"/>
    <w:rsid w:val="008718DA"/>
    <w:rsid w:val="00872984"/>
    <w:rsid w:val="008733EB"/>
    <w:rsid w:val="00873931"/>
    <w:rsid w:val="00873CCF"/>
    <w:rsid w:val="00873D08"/>
    <w:rsid w:val="00873E66"/>
    <w:rsid w:val="008749C5"/>
    <w:rsid w:val="008753C3"/>
    <w:rsid w:val="00875A22"/>
    <w:rsid w:val="00875B9A"/>
    <w:rsid w:val="008769C8"/>
    <w:rsid w:val="00876F67"/>
    <w:rsid w:val="0087751A"/>
    <w:rsid w:val="00877C97"/>
    <w:rsid w:val="008800C2"/>
    <w:rsid w:val="0088069B"/>
    <w:rsid w:val="00880AA3"/>
    <w:rsid w:val="0088131D"/>
    <w:rsid w:val="00881E5F"/>
    <w:rsid w:val="00881EB7"/>
    <w:rsid w:val="00881F72"/>
    <w:rsid w:val="00882609"/>
    <w:rsid w:val="008827CF"/>
    <w:rsid w:val="00882F28"/>
    <w:rsid w:val="008841DF"/>
    <w:rsid w:val="00885227"/>
    <w:rsid w:val="00885795"/>
    <w:rsid w:val="00885B59"/>
    <w:rsid w:val="00886A98"/>
    <w:rsid w:val="00886D80"/>
    <w:rsid w:val="008878DB"/>
    <w:rsid w:val="00887EE2"/>
    <w:rsid w:val="008909BB"/>
    <w:rsid w:val="00891904"/>
    <w:rsid w:val="00891B79"/>
    <w:rsid w:val="0089269F"/>
    <w:rsid w:val="00892D47"/>
    <w:rsid w:val="00893431"/>
    <w:rsid w:val="00893BBC"/>
    <w:rsid w:val="00894F8F"/>
    <w:rsid w:val="008956F9"/>
    <w:rsid w:val="008959E1"/>
    <w:rsid w:val="00895EB1"/>
    <w:rsid w:val="00896151"/>
    <w:rsid w:val="00896384"/>
    <w:rsid w:val="00896F72"/>
    <w:rsid w:val="00897961"/>
    <w:rsid w:val="008A0261"/>
    <w:rsid w:val="008A10DF"/>
    <w:rsid w:val="008A2651"/>
    <w:rsid w:val="008A5450"/>
    <w:rsid w:val="008A6535"/>
    <w:rsid w:val="008A6F98"/>
    <w:rsid w:val="008A760B"/>
    <w:rsid w:val="008A76C1"/>
    <w:rsid w:val="008A7FB9"/>
    <w:rsid w:val="008B0295"/>
    <w:rsid w:val="008B092B"/>
    <w:rsid w:val="008B18F5"/>
    <w:rsid w:val="008B1DD8"/>
    <w:rsid w:val="008B303F"/>
    <w:rsid w:val="008B334E"/>
    <w:rsid w:val="008B3945"/>
    <w:rsid w:val="008B3B36"/>
    <w:rsid w:val="008B543B"/>
    <w:rsid w:val="008B57A8"/>
    <w:rsid w:val="008B5CCD"/>
    <w:rsid w:val="008B5E77"/>
    <w:rsid w:val="008C0E3D"/>
    <w:rsid w:val="008C22BB"/>
    <w:rsid w:val="008C232B"/>
    <w:rsid w:val="008C35F8"/>
    <w:rsid w:val="008C3971"/>
    <w:rsid w:val="008C4704"/>
    <w:rsid w:val="008C4710"/>
    <w:rsid w:val="008C5FCD"/>
    <w:rsid w:val="008C5FE1"/>
    <w:rsid w:val="008C70B8"/>
    <w:rsid w:val="008C75E9"/>
    <w:rsid w:val="008C77E1"/>
    <w:rsid w:val="008D0455"/>
    <w:rsid w:val="008D0B20"/>
    <w:rsid w:val="008D112E"/>
    <w:rsid w:val="008D149E"/>
    <w:rsid w:val="008D32B5"/>
    <w:rsid w:val="008D4954"/>
    <w:rsid w:val="008D49EE"/>
    <w:rsid w:val="008D4E95"/>
    <w:rsid w:val="008D4F1A"/>
    <w:rsid w:val="008D5531"/>
    <w:rsid w:val="008D5938"/>
    <w:rsid w:val="008D5D2F"/>
    <w:rsid w:val="008D5D74"/>
    <w:rsid w:val="008D7D4A"/>
    <w:rsid w:val="008D7ED7"/>
    <w:rsid w:val="008D7F87"/>
    <w:rsid w:val="008E08C5"/>
    <w:rsid w:val="008E14B3"/>
    <w:rsid w:val="008E2B7F"/>
    <w:rsid w:val="008E3505"/>
    <w:rsid w:val="008E3B50"/>
    <w:rsid w:val="008E4B89"/>
    <w:rsid w:val="008E52FF"/>
    <w:rsid w:val="008E55C7"/>
    <w:rsid w:val="008E59F0"/>
    <w:rsid w:val="008E66A8"/>
    <w:rsid w:val="008E715F"/>
    <w:rsid w:val="008E7699"/>
    <w:rsid w:val="008E7BB9"/>
    <w:rsid w:val="008F06D8"/>
    <w:rsid w:val="008F1208"/>
    <w:rsid w:val="008F1B6B"/>
    <w:rsid w:val="008F3B0A"/>
    <w:rsid w:val="008F4783"/>
    <w:rsid w:val="008F4A5E"/>
    <w:rsid w:val="008F4F93"/>
    <w:rsid w:val="008F537A"/>
    <w:rsid w:val="008F5671"/>
    <w:rsid w:val="008F68EE"/>
    <w:rsid w:val="008F6D0F"/>
    <w:rsid w:val="008F6EC2"/>
    <w:rsid w:val="008F79B4"/>
    <w:rsid w:val="009016D2"/>
    <w:rsid w:val="009027B6"/>
    <w:rsid w:val="00902891"/>
    <w:rsid w:val="009031F7"/>
    <w:rsid w:val="0090469C"/>
    <w:rsid w:val="009046FD"/>
    <w:rsid w:val="00904823"/>
    <w:rsid w:val="00904D48"/>
    <w:rsid w:val="00904EBA"/>
    <w:rsid w:val="00904F32"/>
    <w:rsid w:val="00905C79"/>
    <w:rsid w:val="0090604E"/>
    <w:rsid w:val="00906694"/>
    <w:rsid w:val="009070F8"/>
    <w:rsid w:val="00907102"/>
    <w:rsid w:val="00907870"/>
    <w:rsid w:val="009103A4"/>
    <w:rsid w:val="00910DE4"/>
    <w:rsid w:val="0091109A"/>
    <w:rsid w:val="00911107"/>
    <w:rsid w:val="009111D5"/>
    <w:rsid w:val="0091185C"/>
    <w:rsid w:val="00912696"/>
    <w:rsid w:val="009133EB"/>
    <w:rsid w:val="009135DB"/>
    <w:rsid w:val="00913B7D"/>
    <w:rsid w:val="00913E1C"/>
    <w:rsid w:val="00913F6B"/>
    <w:rsid w:val="009143C9"/>
    <w:rsid w:val="009146E9"/>
    <w:rsid w:val="0091529E"/>
    <w:rsid w:val="0091643F"/>
    <w:rsid w:val="009169B4"/>
    <w:rsid w:val="00916D6B"/>
    <w:rsid w:val="0092026D"/>
    <w:rsid w:val="009212D4"/>
    <w:rsid w:val="009219A7"/>
    <w:rsid w:val="00922883"/>
    <w:rsid w:val="00922A0D"/>
    <w:rsid w:val="00922B4B"/>
    <w:rsid w:val="00922DBE"/>
    <w:rsid w:val="00923025"/>
    <w:rsid w:val="009235C9"/>
    <w:rsid w:val="00923C07"/>
    <w:rsid w:val="0092420B"/>
    <w:rsid w:val="00924233"/>
    <w:rsid w:val="009247E0"/>
    <w:rsid w:val="00926BB7"/>
    <w:rsid w:val="00926F72"/>
    <w:rsid w:val="00927341"/>
    <w:rsid w:val="00927D20"/>
    <w:rsid w:val="00927D4D"/>
    <w:rsid w:val="00930C21"/>
    <w:rsid w:val="00931390"/>
    <w:rsid w:val="009314BA"/>
    <w:rsid w:val="009314C4"/>
    <w:rsid w:val="0093258F"/>
    <w:rsid w:val="009335F7"/>
    <w:rsid w:val="00935471"/>
    <w:rsid w:val="00936CFC"/>
    <w:rsid w:val="00937BB6"/>
    <w:rsid w:val="009408E4"/>
    <w:rsid w:val="00940F69"/>
    <w:rsid w:val="00940F93"/>
    <w:rsid w:val="009412D0"/>
    <w:rsid w:val="00941393"/>
    <w:rsid w:val="00941D04"/>
    <w:rsid w:val="00942068"/>
    <w:rsid w:val="0094223D"/>
    <w:rsid w:val="009423B7"/>
    <w:rsid w:val="00942606"/>
    <w:rsid w:val="00943D5D"/>
    <w:rsid w:val="00943E5A"/>
    <w:rsid w:val="00944D44"/>
    <w:rsid w:val="00944FDD"/>
    <w:rsid w:val="00945093"/>
    <w:rsid w:val="00945676"/>
    <w:rsid w:val="009466A7"/>
    <w:rsid w:val="009468B6"/>
    <w:rsid w:val="00947183"/>
    <w:rsid w:val="0094744E"/>
    <w:rsid w:val="00947DE4"/>
    <w:rsid w:val="0095044C"/>
    <w:rsid w:val="009509CF"/>
    <w:rsid w:val="00951A53"/>
    <w:rsid w:val="0095302A"/>
    <w:rsid w:val="00953E09"/>
    <w:rsid w:val="00953E62"/>
    <w:rsid w:val="00954359"/>
    <w:rsid w:val="009543C9"/>
    <w:rsid w:val="00954E9E"/>
    <w:rsid w:val="00955171"/>
    <w:rsid w:val="009551A3"/>
    <w:rsid w:val="00956054"/>
    <w:rsid w:val="0095630A"/>
    <w:rsid w:val="00956C9C"/>
    <w:rsid w:val="00956FAB"/>
    <w:rsid w:val="00961270"/>
    <w:rsid w:val="00961CA4"/>
    <w:rsid w:val="00962002"/>
    <w:rsid w:val="0096275B"/>
    <w:rsid w:val="00962F93"/>
    <w:rsid w:val="009632C2"/>
    <w:rsid w:val="0096369A"/>
    <w:rsid w:val="00963BE1"/>
    <w:rsid w:val="009662D8"/>
    <w:rsid w:val="00966BA8"/>
    <w:rsid w:val="00966CA4"/>
    <w:rsid w:val="00967BE9"/>
    <w:rsid w:val="00967F3D"/>
    <w:rsid w:val="00970CF7"/>
    <w:rsid w:val="009713B8"/>
    <w:rsid w:val="00972150"/>
    <w:rsid w:val="009728A5"/>
    <w:rsid w:val="009728AC"/>
    <w:rsid w:val="00973A55"/>
    <w:rsid w:val="00973C4F"/>
    <w:rsid w:val="009745C0"/>
    <w:rsid w:val="00974AD5"/>
    <w:rsid w:val="00975629"/>
    <w:rsid w:val="00975D6C"/>
    <w:rsid w:val="009761CB"/>
    <w:rsid w:val="0097705B"/>
    <w:rsid w:val="00980D65"/>
    <w:rsid w:val="0098117E"/>
    <w:rsid w:val="00981A1F"/>
    <w:rsid w:val="00982F38"/>
    <w:rsid w:val="00982FA4"/>
    <w:rsid w:val="009830AD"/>
    <w:rsid w:val="00983AF1"/>
    <w:rsid w:val="00983FFD"/>
    <w:rsid w:val="009847A4"/>
    <w:rsid w:val="00984E5F"/>
    <w:rsid w:val="00985054"/>
    <w:rsid w:val="009857CD"/>
    <w:rsid w:val="00987E90"/>
    <w:rsid w:val="00991420"/>
    <w:rsid w:val="009915AC"/>
    <w:rsid w:val="00991917"/>
    <w:rsid w:val="00991C5B"/>
    <w:rsid w:val="00992291"/>
    <w:rsid w:val="009926CC"/>
    <w:rsid w:val="0099315F"/>
    <w:rsid w:val="009933FA"/>
    <w:rsid w:val="009938BD"/>
    <w:rsid w:val="00993CDC"/>
    <w:rsid w:val="00995201"/>
    <w:rsid w:val="00996516"/>
    <w:rsid w:val="0099731B"/>
    <w:rsid w:val="00997E01"/>
    <w:rsid w:val="009A02C9"/>
    <w:rsid w:val="009A0543"/>
    <w:rsid w:val="009A07A8"/>
    <w:rsid w:val="009A1CB1"/>
    <w:rsid w:val="009A1DAA"/>
    <w:rsid w:val="009A1FF4"/>
    <w:rsid w:val="009A23D4"/>
    <w:rsid w:val="009A2444"/>
    <w:rsid w:val="009A2D22"/>
    <w:rsid w:val="009A369E"/>
    <w:rsid w:val="009A44F0"/>
    <w:rsid w:val="009A49DD"/>
    <w:rsid w:val="009A4EDC"/>
    <w:rsid w:val="009A4FF6"/>
    <w:rsid w:val="009A5D18"/>
    <w:rsid w:val="009A6840"/>
    <w:rsid w:val="009A6847"/>
    <w:rsid w:val="009A768F"/>
    <w:rsid w:val="009A79CD"/>
    <w:rsid w:val="009B06FD"/>
    <w:rsid w:val="009B1C71"/>
    <w:rsid w:val="009B2006"/>
    <w:rsid w:val="009B2902"/>
    <w:rsid w:val="009B2AE9"/>
    <w:rsid w:val="009B2D2C"/>
    <w:rsid w:val="009B4BB2"/>
    <w:rsid w:val="009B65E0"/>
    <w:rsid w:val="009B781B"/>
    <w:rsid w:val="009B7880"/>
    <w:rsid w:val="009C0D32"/>
    <w:rsid w:val="009C1DEC"/>
    <w:rsid w:val="009C1E14"/>
    <w:rsid w:val="009C1FA2"/>
    <w:rsid w:val="009C2716"/>
    <w:rsid w:val="009C2C24"/>
    <w:rsid w:val="009C2C7F"/>
    <w:rsid w:val="009C3BCA"/>
    <w:rsid w:val="009C4FB9"/>
    <w:rsid w:val="009C54FB"/>
    <w:rsid w:val="009C60C3"/>
    <w:rsid w:val="009C68FB"/>
    <w:rsid w:val="009C6B86"/>
    <w:rsid w:val="009C6D11"/>
    <w:rsid w:val="009C6DE3"/>
    <w:rsid w:val="009C7DE2"/>
    <w:rsid w:val="009D0F69"/>
    <w:rsid w:val="009D11C8"/>
    <w:rsid w:val="009D172C"/>
    <w:rsid w:val="009D1875"/>
    <w:rsid w:val="009D191F"/>
    <w:rsid w:val="009D226B"/>
    <w:rsid w:val="009D2C41"/>
    <w:rsid w:val="009D31BB"/>
    <w:rsid w:val="009D3518"/>
    <w:rsid w:val="009D3519"/>
    <w:rsid w:val="009D364A"/>
    <w:rsid w:val="009D36CA"/>
    <w:rsid w:val="009D41F7"/>
    <w:rsid w:val="009D4C5F"/>
    <w:rsid w:val="009D6759"/>
    <w:rsid w:val="009D787F"/>
    <w:rsid w:val="009D7A33"/>
    <w:rsid w:val="009D7B7C"/>
    <w:rsid w:val="009D7DA3"/>
    <w:rsid w:val="009D7F75"/>
    <w:rsid w:val="009E012E"/>
    <w:rsid w:val="009E0474"/>
    <w:rsid w:val="009E1651"/>
    <w:rsid w:val="009E2F63"/>
    <w:rsid w:val="009E2F8A"/>
    <w:rsid w:val="009E30DC"/>
    <w:rsid w:val="009E44B1"/>
    <w:rsid w:val="009E4A07"/>
    <w:rsid w:val="009E5EF4"/>
    <w:rsid w:val="009E6183"/>
    <w:rsid w:val="009E7195"/>
    <w:rsid w:val="009E77A3"/>
    <w:rsid w:val="009E7DC2"/>
    <w:rsid w:val="009F19C6"/>
    <w:rsid w:val="009F1F08"/>
    <w:rsid w:val="009F20F8"/>
    <w:rsid w:val="009F247A"/>
    <w:rsid w:val="009F2C2E"/>
    <w:rsid w:val="009F3ED9"/>
    <w:rsid w:val="009F4457"/>
    <w:rsid w:val="009F5395"/>
    <w:rsid w:val="009F545D"/>
    <w:rsid w:val="009F57AB"/>
    <w:rsid w:val="009F7D8C"/>
    <w:rsid w:val="00A00597"/>
    <w:rsid w:val="00A00843"/>
    <w:rsid w:val="00A01A39"/>
    <w:rsid w:val="00A01BBB"/>
    <w:rsid w:val="00A01FA0"/>
    <w:rsid w:val="00A024DF"/>
    <w:rsid w:val="00A02682"/>
    <w:rsid w:val="00A02E49"/>
    <w:rsid w:val="00A02F8A"/>
    <w:rsid w:val="00A03F50"/>
    <w:rsid w:val="00A06A37"/>
    <w:rsid w:val="00A06BB8"/>
    <w:rsid w:val="00A07635"/>
    <w:rsid w:val="00A1067B"/>
    <w:rsid w:val="00A11847"/>
    <w:rsid w:val="00A12A88"/>
    <w:rsid w:val="00A13A91"/>
    <w:rsid w:val="00A13C73"/>
    <w:rsid w:val="00A13DA5"/>
    <w:rsid w:val="00A14171"/>
    <w:rsid w:val="00A149F3"/>
    <w:rsid w:val="00A1539B"/>
    <w:rsid w:val="00A155A3"/>
    <w:rsid w:val="00A157FC"/>
    <w:rsid w:val="00A15D44"/>
    <w:rsid w:val="00A1643F"/>
    <w:rsid w:val="00A169D7"/>
    <w:rsid w:val="00A16C70"/>
    <w:rsid w:val="00A174F9"/>
    <w:rsid w:val="00A1793F"/>
    <w:rsid w:val="00A17B7C"/>
    <w:rsid w:val="00A17F01"/>
    <w:rsid w:val="00A17FD1"/>
    <w:rsid w:val="00A20065"/>
    <w:rsid w:val="00A20D7D"/>
    <w:rsid w:val="00A213C4"/>
    <w:rsid w:val="00A21CE0"/>
    <w:rsid w:val="00A23021"/>
    <w:rsid w:val="00A24005"/>
    <w:rsid w:val="00A256E4"/>
    <w:rsid w:val="00A260AA"/>
    <w:rsid w:val="00A264DD"/>
    <w:rsid w:val="00A266BE"/>
    <w:rsid w:val="00A26E46"/>
    <w:rsid w:val="00A271CE"/>
    <w:rsid w:val="00A27A5E"/>
    <w:rsid w:val="00A27CE7"/>
    <w:rsid w:val="00A30828"/>
    <w:rsid w:val="00A30F2C"/>
    <w:rsid w:val="00A31392"/>
    <w:rsid w:val="00A319AB"/>
    <w:rsid w:val="00A32BF6"/>
    <w:rsid w:val="00A32DB2"/>
    <w:rsid w:val="00A333AB"/>
    <w:rsid w:val="00A341C8"/>
    <w:rsid w:val="00A34709"/>
    <w:rsid w:val="00A34F72"/>
    <w:rsid w:val="00A3543E"/>
    <w:rsid w:val="00A35726"/>
    <w:rsid w:val="00A36C27"/>
    <w:rsid w:val="00A36E3E"/>
    <w:rsid w:val="00A3723F"/>
    <w:rsid w:val="00A3729C"/>
    <w:rsid w:val="00A37B77"/>
    <w:rsid w:val="00A421CE"/>
    <w:rsid w:val="00A42BF5"/>
    <w:rsid w:val="00A43672"/>
    <w:rsid w:val="00A43721"/>
    <w:rsid w:val="00A438E4"/>
    <w:rsid w:val="00A43BD8"/>
    <w:rsid w:val="00A43CFD"/>
    <w:rsid w:val="00A44D83"/>
    <w:rsid w:val="00A452CA"/>
    <w:rsid w:val="00A45EAA"/>
    <w:rsid w:val="00A462AE"/>
    <w:rsid w:val="00A4641E"/>
    <w:rsid w:val="00A467FC"/>
    <w:rsid w:val="00A4717B"/>
    <w:rsid w:val="00A472BF"/>
    <w:rsid w:val="00A505A3"/>
    <w:rsid w:val="00A513F2"/>
    <w:rsid w:val="00A5158F"/>
    <w:rsid w:val="00A51852"/>
    <w:rsid w:val="00A527C0"/>
    <w:rsid w:val="00A52D07"/>
    <w:rsid w:val="00A53075"/>
    <w:rsid w:val="00A53680"/>
    <w:rsid w:val="00A53716"/>
    <w:rsid w:val="00A53919"/>
    <w:rsid w:val="00A53F1E"/>
    <w:rsid w:val="00A544A0"/>
    <w:rsid w:val="00A556D9"/>
    <w:rsid w:val="00A564E1"/>
    <w:rsid w:val="00A56616"/>
    <w:rsid w:val="00A56D0E"/>
    <w:rsid w:val="00A56DE8"/>
    <w:rsid w:val="00A57428"/>
    <w:rsid w:val="00A5758C"/>
    <w:rsid w:val="00A57617"/>
    <w:rsid w:val="00A57835"/>
    <w:rsid w:val="00A57B7F"/>
    <w:rsid w:val="00A6002A"/>
    <w:rsid w:val="00A60D28"/>
    <w:rsid w:val="00A60ED7"/>
    <w:rsid w:val="00A614E7"/>
    <w:rsid w:val="00A61671"/>
    <w:rsid w:val="00A61EBC"/>
    <w:rsid w:val="00A625EB"/>
    <w:rsid w:val="00A63236"/>
    <w:rsid w:val="00A64009"/>
    <w:rsid w:val="00A6516E"/>
    <w:rsid w:val="00A654E6"/>
    <w:rsid w:val="00A663CF"/>
    <w:rsid w:val="00A66541"/>
    <w:rsid w:val="00A67620"/>
    <w:rsid w:val="00A67F9D"/>
    <w:rsid w:val="00A67FB8"/>
    <w:rsid w:val="00A715E5"/>
    <w:rsid w:val="00A717F8"/>
    <w:rsid w:val="00A71B0B"/>
    <w:rsid w:val="00A72772"/>
    <w:rsid w:val="00A74DEB"/>
    <w:rsid w:val="00A74E9E"/>
    <w:rsid w:val="00A76725"/>
    <w:rsid w:val="00A7682D"/>
    <w:rsid w:val="00A76D77"/>
    <w:rsid w:val="00A77B1F"/>
    <w:rsid w:val="00A77E9F"/>
    <w:rsid w:val="00A77FFD"/>
    <w:rsid w:val="00A804D0"/>
    <w:rsid w:val="00A80F49"/>
    <w:rsid w:val="00A811E1"/>
    <w:rsid w:val="00A81C98"/>
    <w:rsid w:val="00A824C8"/>
    <w:rsid w:val="00A82DC8"/>
    <w:rsid w:val="00A848CA"/>
    <w:rsid w:val="00A8544F"/>
    <w:rsid w:val="00A85931"/>
    <w:rsid w:val="00A860E6"/>
    <w:rsid w:val="00A8615C"/>
    <w:rsid w:val="00A867DF"/>
    <w:rsid w:val="00A87EE0"/>
    <w:rsid w:val="00A90CAB"/>
    <w:rsid w:val="00A91ABD"/>
    <w:rsid w:val="00A91F8B"/>
    <w:rsid w:val="00A92350"/>
    <w:rsid w:val="00A92D7C"/>
    <w:rsid w:val="00A938A4"/>
    <w:rsid w:val="00A93DB1"/>
    <w:rsid w:val="00A94562"/>
    <w:rsid w:val="00A94A89"/>
    <w:rsid w:val="00A94B20"/>
    <w:rsid w:val="00A95FFB"/>
    <w:rsid w:val="00A967FA"/>
    <w:rsid w:val="00A96C5F"/>
    <w:rsid w:val="00A97C21"/>
    <w:rsid w:val="00AA0BBB"/>
    <w:rsid w:val="00AA178B"/>
    <w:rsid w:val="00AA1CDE"/>
    <w:rsid w:val="00AA239C"/>
    <w:rsid w:val="00AA3186"/>
    <w:rsid w:val="00AA37CF"/>
    <w:rsid w:val="00AA3DE4"/>
    <w:rsid w:val="00AA48D4"/>
    <w:rsid w:val="00AA4FB8"/>
    <w:rsid w:val="00AA533C"/>
    <w:rsid w:val="00AA69C7"/>
    <w:rsid w:val="00AA76E2"/>
    <w:rsid w:val="00AB09D8"/>
    <w:rsid w:val="00AB0A0D"/>
    <w:rsid w:val="00AB0E57"/>
    <w:rsid w:val="00AB0F25"/>
    <w:rsid w:val="00AB1604"/>
    <w:rsid w:val="00AB1B1C"/>
    <w:rsid w:val="00AB1F4F"/>
    <w:rsid w:val="00AB2024"/>
    <w:rsid w:val="00AB2225"/>
    <w:rsid w:val="00AB262E"/>
    <w:rsid w:val="00AB4B46"/>
    <w:rsid w:val="00AB5CF0"/>
    <w:rsid w:val="00AB5F02"/>
    <w:rsid w:val="00AB6773"/>
    <w:rsid w:val="00AB67AC"/>
    <w:rsid w:val="00AB6BA1"/>
    <w:rsid w:val="00AB7C38"/>
    <w:rsid w:val="00AC00D4"/>
    <w:rsid w:val="00AC08A7"/>
    <w:rsid w:val="00AC0904"/>
    <w:rsid w:val="00AC0F77"/>
    <w:rsid w:val="00AC14D8"/>
    <w:rsid w:val="00AC1AB9"/>
    <w:rsid w:val="00AC2007"/>
    <w:rsid w:val="00AC3183"/>
    <w:rsid w:val="00AC3336"/>
    <w:rsid w:val="00AC3577"/>
    <w:rsid w:val="00AC36B8"/>
    <w:rsid w:val="00AC3844"/>
    <w:rsid w:val="00AC3A77"/>
    <w:rsid w:val="00AC4004"/>
    <w:rsid w:val="00AC493D"/>
    <w:rsid w:val="00AC4B8C"/>
    <w:rsid w:val="00AC4C81"/>
    <w:rsid w:val="00AC5423"/>
    <w:rsid w:val="00AC5667"/>
    <w:rsid w:val="00AC5C33"/>
    <w:rsid w:val="00AC63BB"/>
    <w:rsid w:val="00AC66D0"/>
    <w:rsid w:val="00AC7060"/>
    <w:rsid w:val="00AC7174"/>
    <w:rsid w:val="00AC7604"/>
    <w:rsid w:val="00AC7BE1"/>
    <w:rsid w:val="00AC7EC8"/>
    <w:rsid w:val="00AD0D28"/>
    <w:rsid w:val="00AD0DBF"/>
    <w:rsid w:val="00AD11E5"/>
    <w:rsid w:val="00AD1290"/>
    <w:rsid w:val="00AD174B"/>
    <w:rsid w:val="00AD2C1B"/>
    <w:rsid w:val="00AD3AC9"/>
    <w:rsid w:val="00AD4554"/>
    <w:rsid w:val="00AD537C"/>
    <w:rsid w:val="00AD5BB6"/>
    <w:rsid w:val="00AD5C6D"/>
    <w:rsid w:val="00AD6A38"/>
    <w:rsid w:val="00AD6CB6"/>
    <w:rsid w:val="00AD73B7"/>
    <w:rsid w:val="00AE1661"/>
    <w:rsid w:val="00AE1AEE"/>
    <w:rsid w:val="00AE1EF7"/>
    <w:rsid w:val="00AE1FA6"/>
    <w:rsid w:val="00AE33E2"/>
    <w:rsid w:val="00AE38C0"/>
    <w:rsid w:val="00AE45C9"/>
    <w:rsid w:val="00AE4893"/>
    <w:rsid w:val="00AE4AAE"/>
    <w:rsid w:val="00AE7032"/>
    <w:rsid w:val="00AE7719"/>
    <w:rsid w:val="00AF03FC"/>
    <w:rsid w:val="00AF0CDC"/>
    <w:rsid w:val="00AF1A11"/>
    <w:rsid w:val="00AF2383"/>
    <w:rsid w:val="00AF28E2"/>
    <w:rsid w:val="00AF297D"/>
    <w:rsid w:val="00AF305C"/>
    <w:rsid w:val="00AF3173"/>
    <w:rsid w:val="00AF3BFB"/>
    <w:rsid w:val="00AF4771"/>
    <w:rsid w:val="00AF4892"/>
    <w:rsid w:val="00AF5071"/>
    <w:rsid w:val="00AF53F0"/>
    <w:rsid w:val="00AF6918"/>
    <w:rsid w:val="00AF71D0"/>
    <w:rsid w:val="00AF7FEA"/>
    <w:rsid w:val="00B00A95"/>
    <w:rsid w:val="00B00DF0"/>
    <w:rsid w:val="00B01F21"/>
    <w:rsid w:val="00B022A4"/>
    <w:rsid w:val="00B02BC0"/>
    <w:rsid w:val="00B030B1"/>
    <w:rsid w:val="00B031CD"/>
    <w:rsid w:val="00B03348"/>
    <w:rsid w:val="00B03448"/>
    <w:rsid w:val="00B03762"/>
    <w:rsid w:val="00B040BB"/>
    <w:rsid w:val="00B05AD1"/>
    <w:rsid w:val="00B05B3A"/>
    <w:rsid w:val="00B06129"/>
    <w:rsid w:val="00B065CB"/>
    <w:rsid w:val="00B07B69"/>
    <w:rsid w:val="00B10C46"/>
    <w:rsid w:val="00B11907"/>
    <w:rsid w:val="00B11E20"/>
    <w:rsid w:val="00B127B9"/>
    <w:rsid w:val="00B132F3"/>
    <w:rsid w:val="00B141A4"/>
    <w:rsid w:val="00B14A6D"/>
    <w:rsid w:val="00B14B98"/>
    <w:rsid w:val="00B14E77"/>
    <w:rsid w:val="00B151EB"/>
    <w:rsid w:val="00B15A9E"/>
    <w:rsid w:val="00B15F78"/>
    <w:rsid w:val="00B172BC"/>
    <w:rsid w:val="00B175E0"/>
    <w:rsid w:val="00B178B6"/>
    <w:rsid w:val="00B208DF"/>
    <w:rsid w:val="00B2098C"/>
    <w:rsid w:val="00B20D7C"/>
    <w:rsid w:val="00B214E4"/>
    <w:rsid w:val="00B2357F"/>
    <w:rsid w:val="00B23716"/>
    <w:rsid w:val="00B2420E"/>
    <w:rsid w:val="00B242BB"/>
    <w:rsid w:val="00B249C7"/>
    <w:rsid w:val="00B2528E"/>
    <w:rsid w:val="00B2605A"/>
    <w:rsid w:val="00B26095"/>
    <w:rsid w:val="00B26D5A"/>
    <w:rsid w:val="00B26E33"/>
    <w:rsid w:val="00B26E5D"/>
    <w:rsid w:val="00B2776B"/>
    <w:rsid w:val="00B27779"/>
    <w:rsid w:val="00B3017A"/>
    <w:rsid w:val="00B30485"/>
    <w:rsid w:val="00B3098B"/>
    <w:rsid w:val="00B30EB8"/>
    <w:rsid w:val="00B31087"/>
    <w:rsid w:val="00B31514"/>
    <w:rsid w:val="00B32715"/>
    <w:rsid w:val="00B33E76"/>
    <w:rsid w:val="00B344D7"/>
    <w:rsid w:val="00B35BA8"/>
    <w:rsid w:val="00B35E33"/>
    <w:rsid w:val="00B36286"/>
    <w:rsid w:val="00B36AC6"/>
    <w:rsid w:val="00B379BC"/>
    <w:rsid w:val="00B407C2"/>
    <w:rsid w:val="00B40852"/>
    <w:rsid w:val="00B40DE2"/>
    <w:rsid w:val="00B42216"/>
    <w:rsid w:val="00B42AF2"/>
    <w:rsid w:val="00B43CA8"/>
    <w:rsid w:val="00B43FB2"/>
    <w:rsid w:val="00B445E2"/>
    <w:rsid w:val="00B44AAC"/>
    <w:rsid w:val="00B45461"/>
    <w:rsid w:val="00B459D5"/>
    <w:rsid w:val="00B5089C"/>
    <w:rsid w:val="00B50A8F"/>
    <w:rsid w:val="00B50BE0"/>
    <w:rsid w:val="00B51221"/>
    <w:rsid w:val="00B5125C"/>
    <w:rsid w:val="00B52590"/>
    <w:rsid w:val="00B5294D"/>
    <w:rsid w:val="00B52ABF"/>
    <w:rsid w:val="00B539A7"/>
    <w:rsid w:val="00B54312"/>
    <w:rsid w:val="00B55A76"/>
    <w:rsid w:val="00B55F48"/>
    <w:rsid w:val="00B5668F"/>
    <w:rsid w:val="00B600EC"/>
    <w:rsid w:val="00B604AE"/>
    <w:rsid w:val="00B63BD1"/>
    <w:rsid w:val="00B63D5D"/>
    <w:rsid w:val="00B64A75"/>
    <w:rsid w:val="00B64EB0"/>
    <w:rsid w:val="00B65044"/>
    <w:rsid w:val="00B6564E"/>
    <w:rsid w:val="00B658D9"/>
    <w:rsid w:val="00B65C23"/>
    <w:rsid w:val="00B65CD5"/>
    <w:rsid w:val="00B6621B"/>
    <w:rsid w:val="00B66B68"/>
    <w:rsid w:val="00B66D1C"/>
    <w:rsid w:val="00B700AB"/>
    <w:rsid w:val="00B7025B"/>
    <w:rsid w:val="00B70957"/>
    <w:rsid w:val="00B709D6"/>
    <w:rsid w:val="00B713EF"/>
    <w:rsid w:val="00B71D6A"/>
    <w:rsid w:val="00B71D8C"/>
    <w:rsid w:val="00B72407"/>
    <w:rsid w:val="00B7241D"/>
    <w:rsid w:val="00B74152"/>
    <w:rsid w:val="00B7429C"/>
    <w:rsid w:val="00B748A8"/>
    <w:rsid w:val="00B74ED8"/>
    <w:rsid w:val="00B7514B"/>
    <w:rsid w:val="00B75AE6"/>
    <w:rsid w:val="00B75F41"/>
    <w:rsid w:val="00B76E21"/>
    <w:rsid w:val="00B770C4"/>
    <w:rsid w:val="00B773F1"/>
    <w:rsid w:val="00B80147"/>
    <w:rsid w:val="00B821DF"/>
    <w:rsid w:val="00B82800"/>
    <w:rsid w:val="00B836D7"/>
    <w:rsid w:val="00B838B6"/>
    <w:rsid w:val="00B8430A"/>
    <w:rsid w:val="00B846CB"/>
    <w:rsid w:val="00B8494C"/>
    <w:rsid w:val="00B84A8B"/>
    <w:rsid w:val="00B84C26"/>
    <w:rsid w:val="00B84DE5"/>
    <w:rsid w:val="00B8693A"/>
    <w:rsid w:val="00B86B2A"/>
    <w:rsid w:val="00B876E3"/>
    <w:rsid w:val="00B87A0B"/>
    <w:rsid w:val="00B87E7C"/>
    <w:rsid w:val="00B9017D"/>
    <w:rsid w:val="00B90466"/>
    <w:rsid w:val="00B907F1"/>
    <w:rsid w:val="00B9210D"/>
    <w:rsid w:val="00B922FD"/>
    <w:rsid w:val="00B927F5"/>
    <w:rsid w:val="00B92C89"/>
    <w:rsid w:val="00B9313D"/>
    <w:rsid w:val="00B93585"/>
    <w:rsid w:val="00B93FF4"/>
    <w:rsid w:val="00B954D9"/>
    <w:rsid w:val="00B957F1"/>
    <w:rsid w:val="00B95997"/>
    <w:rsid w:val="00B96827"/>
    <w:rsid w:val="00BA0FC3"/>
    <w:rsid w:val="00BA154B"/>
    <w:rsid w:val="00BA2DA9"/>
    <w:rsid w:val="00BA3017"/>
    <w:rsid w:val="00BA3BB0"/>
    <w:rsid w:val="00BA3FDF"/>
    <w:rsid w:val="00BA5043"/>
    <w:rsid w:val="00BA53BA"/>
    <w:rsid w:val="00BA6465"/>
    <w:rsid w:val="00BA6D02"/>
    <w:rsid w:val="00BA7383"/>
    <w:rsid w:val="00BA7E75"/>
    <w:rsid w:val="00BB00E0"/>
    <w:rsid w:val="00BB2975"/>
    <w:rsid w:val="00BB29C1"/>
    <w:rsid w:val="00BB2B1A"/>
    <w:rsid w:val="00BB2FED"/>
    <w:rsid w:val="00BB3677"/>
    <w:rsid w:val="00BB3752"/>
    <w:rsid w:val="00BB3771"/>
    <w:rsid w:val="00BB5128"/>
    <w:rsid w:val="00BB6994"/>
    <w:rsid w:val="00BB6C33"/>
    <w:rsid w:val="00BB6D06"/>
    <w:rsid w:val="00BB6F21"/>
    <w:rsid w:val="00BB6F33"/>
    <w:rsid w:val="00BC0352"/>
    <w:rsid w:val="00BC070B"/>
    <w:rsid w:val="00BC20B7"/>
    <w:rsid w:val="00BC2121"/>
    <w:rsid w:val="00BC23B3"/>
    <w:rsid w:val="00BC253E"/>
    <w:rsid w:val="00BC2DA5"/>
    <w:rsid w:val="00BC3381"/>
    <w:rsid w:val="00BC3386"/>
    <w:rsid w:val="00BC3C6C"/>
    <w:rsid w:val="00BC41D5"/>
    <w:rsid w:val="00BC42A0"/>
    <w:rsid w:val="00BC42D5"/>
    <w:rsid w:val="00BC4C59"/>
    <w:rsid w:val="00BC521B"/>
    <w:rsid w:val="00BC5D1F"/>
    <w:rsid w:val="00BC6223"/>
    <w:rsid w:val="00BC71AF"/>
    <w:rsid w:val="00BC732F"/>
    <w:rsid w:val="00BC7679"/>
    <w:rsid w:val="00BC7A8C"/>
    <w:rsid w:val="00BC7B4E"/>
    <w:rsid w:val="00BC7BC2"/>
    <w:rsid w:val="00BC7E7B"/>
    <w:rsid w:val="00BD02B1"/>
    <w:rsid w:val="00BD0F24"/>
    <w:rsid w:val="00BD31C9"/>
    <w:rsid w:val="00BD3202"/>
    <w:rsid w:val="00BD3647"/>
    <w:rsid w:val="00BD3692"/>
    <w:rsid w:val="00BD36F4"/>
    <w:rsid w:val="00BD517B"/>
    <w:rsid w:val="00BD5D6E"/>
    <w:rsid w:val="00BD6E8D"/>
    <w:rsid w:val="00BD713D"/>
    <w:rsid w:val="00BD7EB2"/>
    <w:rsid w:val="00BE0115"/>
    <w:rsid w:val="00BE13A0"/>
    <w:rsid w:val="00BE3072"/>
    <w:rsid w:val="00BE327A"/>
    <w:rsid w:val="00BE3D18"/>
    <w:rsid w:val="00BE4973"/>
    <w:rsid w:val="00BE4ADA"/>
    <w:rsid w:val="00BE637C"/>
    <w:rsid w:val="00BE64A1"/>
    <w:rsid w:val="00BE656C"/>
    <w:rsid w:val="00BE770E"/>
    <w:rsid w:val="00BF0BCE"/>
    <w:rsid w:val="00BF2775"/>
    <w:rsid w:val="00BF27E8"/>
    <w:rsid w:val="00BF3165"/>
    <w:rsid w:val="00BF5EEF"/>
    <w:rsid w:val="00BF6176"/>
    <w:rsid w:val="00BF6C03"/>
    <w:rsid w:val="00BF6EE3"/>
    <w:rsid w:val="00BF7932"/>
    <w:rsid w:val="00BF7CCC"/>
    <w:rsid w:val="00C00DF5"/>
    <w:rsid w:val="00C00F9F"/>
    <w:rsid w:val="00C01225"/>
    <w:rsid w:val="00C01333"/>
    <w:rsid w:val="00C0206F"/>
    <w:rsid w:val="00C020E6"/>
    <w:rsid w:val="00C0276F"/>
    <w:rsid w:val="00C02B28"/>
    <w:rsid w:val="00C03552"/>
    <w:rsid w:val="00C0377F"/>
    <w:rsid w:val="00C04408"/>
    <w:rsid w:val="00C07B3C"/>
    <w:rsid w:val="00C07DE3"/>
    <w:rsid w:val="00C1049E"/>
    <w:rsid w:val="00C10EF6"/>
    <w:rsid w:val="00C10F24"/>
    <w:rsid w:val="00C10F61"/>
    <w:rsid w:val="00C1137E"/>
    <w:rsid w:val="00C12238"/>
    <w:rsid w:val="00C12D0E"/>
    <w:rsid w:val="00C138D1"/>
    <w:rsid w:val="00C13C5B"/>
    <w:rsid w:val="00C13EEF"/>
    <w:rsid w:val="00C146A7"/>
    <w:rsid w:val="00C158FC"/>
    <w:rsid w:val="00C16964"/>
    <w:rsid w:val="00C17B5A"/>
    <w:rsid w:val="00C17DE4"/>
    <w:rsid w:val="00C2002D"/>
    <w:rsid w:val="00C20CF0"/>
    <w:rsid w:val="00C215FC"/>
    <w:rsid w:val="00C22008"/>
    <w:rsid w:val="00C2288E"/>
    <w:rsid w:val="00C22F07"/>
    <w:rsid w:val="00C23A44"/>
    <w:rsid w:val="00C23DF3"/>
    <w:rsid w:val="00C24038"/>
    <w:rsid w:val="00C24523"/>
    <w:rsid w:val="00C24CF8"/>
    <w:rsid w:val="00C251E4"/>
    <w:rsid w:val="00C2579C"/>
    <w:rsid w:val="00C25EED"/>
    <w:rsid w:val="00C26740"/>
    <w:rsid w:val="00C27032"/>
    <w:rsid w:val="00C271C5"/>
    <w:rsid w:val="00C2768D"/>
    <w:rsid w:val="00C2784F"/>
    <w:rsid w:val="00C27852"/>
    <w:rsid w:val="00C30583"/>
    <w:rsid w:val="00C305A8"/>
    <w:rsid w:val="00C32896"/>
    <w:rsid w:val="00C32A2A"/>
    <w:rsid w:val="00C32A98"/>
    <w:rsid w:val="00C32BA5"/>
    <w:rsid w:val="00C33252"/>
    <w:rsid w:val="00C334DF"/>
    <w:rsid w:val="00C33821"/>
    <w:rsid w:val="00C33884"/>
    <w:rsid w:val="00C33A08"/>
    <w:rsid w:val="00C342DF"/>
    <w:rsid w:val="00C351EF"/>
    <w:rsid w:val="00C356EE"/>
    <w:rsid w:val="00C35C72"/>
    <w:rsid w:val="00C3605F"/>
    <w:rsid w:val="00C36EBE"/>
    <w:rsid w:val="00C36F7C"/>
    <w:rsid w:val="00C37EDC"/>
    <w:rsid w:val="00C404D9"/>
    <w:rsid w:val="00C4160E"/>
    <w:rsid w:val="00C41D67"/>
    <w:rsid w:val="00C42549"/>
    <w:rsid w:val="00C4291B"/>
    <w:rsid w:val="00C42D8A"/>
    <w:rsid w:val="00C43DDF"/>
    <w:rsid w:val="00C4481E"/>
    <w:rsid w:val="00C45AF4"/>
    <w:rsid w:val="00C4605B"/>
    <w:rsid w:val="00C46D5E"/>
    <w:rsid w:val="00C4738D"/>
    <w:rsid w:val="00C474C1"/>
    <w:rsid w:val="00C505B4"/>
    <w:rsid w:val="00C50CC7"/>
    <w:rsid w:val="00C51594"/>
    <w:rsid w:val="00C516B1"/>
    <w:rsid w:val="00C51D00"/>
    <w:rsid w:val="00C5226F"/>
    <w:rsid w:val="00C52B6B"/>
    <w:rsid w:val="00C54EA9"/>
    <w:rsid w:val="00C553F1"/>
    <w:rsid w:val="00C566DD"/>
    <w:rsid w:val="00C56B8F"/>
    <w:rsid w:val="00C57FD2"/>
    <w:rsid w:val="00C60650"/>
    <w:rsid w:val="00C60C2B"/>
    <w:rsid w:val="00C61049"/>
    <w:rsid w:val="00C61E5B"/>
    <w:rsid w:val="00C62182"/>
    <w:rsid w:val="00C62254"/>
    <w:rsid w:val="00C63BEA"/>
    <w:rsid w:val="00C64A3E"/>
    <w:rsid w:val="00C66178"/>
    <w:rsid w:val="00C66F56"/>
    <w:rsid w:val="00C700FD"/>
    <w:rsid w:val="00C703A4"/>
    <w:rsid w:val="00C72038"/>
    <w:rsid w:val="00C72E7B"/>
    <w:rsid w:val="00C72F19"/>
    <w:rsid w:val="00C73979"/>
    <w:rsid w:val="00C73FFF"/>
    <w:rsid w:val="00C74313"/>
    <w:rsid w:val="00C74A20"/>
    <w:rsid w:val="00C74BBB"/>
    <w:rsid w:val="00C74D20"/>
    <w:rsid w:val="00C762E1"/>
    <w:rsid w:val="00C76434"/>
    <w:rsid w:val="00C76631"/>
    <w:rsid w:val="00C7665A"/>
    <w:rsid w:val="00C779BD"/>
    <w:rsid w:val="00C77F3E"/>
    <w:rsid w:val="00C8185A"/>
    <w:rsid w:val="00C81B68"/>
    <w:rsid w:val="00C821FD"/>
    <w:rsid w:val="00C823CD"/>
    <w:rsid w:val="00C83CEB"/>
    <w:rsid w:val="00C83F0D"/>
    <w:rsid w:val="00C84784"/>
    <w:rsid w:val="00C85B44"/>
    <w:rsid w:val="00C85B61"/>
    <w:rsid w:val="00C8661B"/>
    <w:rsid w:val="00C879F6"/>
    <w:rsid w:val="00C87D6B"/>
    <w:rsid w:val="00C87F4F"/>
    <w:rsid w:val="00C91E3E"/>
    <w:rsid w:val="00C91F51"/>
    <w:rsid w:val="00C92374"/>
    <w:rsid w:val="00C92518"/>
    <w:rsid w:val="00C9266B"/>
    <w:rsid w:val="00C92AC0"/>
    <w:rsid w:val="00C93022"/>
    <w:rsid w:val="00C95475"/>
    <w:rsid w:val="00C9555B"/>
    <w:rsid w:val="00C95BF8"/>
    <w:rsid w:val="00C95C7D"/>
    <w:rsid w:val="00C96068"/>
    <w:rsid w:val="00C9637A"/>
    <w:rsid w:val="00C96475"/>
    <w:rsid w:val="00C970CF"/>
    <w:rsid w:val="00C97A20"/>
    <w:rsid w:val="00CA0AEF"/>
    <w:rsid w:val="00CA0CE6"/>
    <w:rsid w:val="00CA1102"/>
    <w:rsid w:val="00CA2F5F"/>
    <w:rsid w:val="00CA4735"/>
    <w:rsid w:val="00CA4A81"/>
    <w:rsid w:val="00CA50C6"/>
    <w:rsid w:val="00CA52E6"/>
    <w:rsid w:val="00CA5362"/>
    <w:rsid w:val="00CA53CA"/>
    <w:rsid w:val="00CA5BAB"/>
    <w:rsid w:val="00CA668A"/>
    <w:rsid w:val="00CA6C88"/>
    <w:rsid w:val="00CA7DE5"/>
    <w:rsid w:val="00CB0331"/>
    <w:rsid w:val="00CB0458"/>
    <w:rsid w:val="00CB045C"/>
    <w:rsid w:val="00CB07C6"/>
    <w:rsid w:val="00CB23EB"/>
    <w:rsid w:val="00CB2569"/>
    <w:rsid w:val="00CB2854"/>
    <w:rsid w:val="00CB32A1"/>
    <w:rsid w:val="00CB498E"/>
    <w:rsid w:val="00CB5685"/>
    <w:rsid w:val="00CB5B8A"/>
    <w:rsid w:val="00CB5C7A"/>
    <w:rsid w:val="00CB5CC1"/>
    <w:rsid w:val="00CB68CB"/>
    <w:rsid w:val="00CB7455"/>
    <w:rsid w:val="00CB7DB1"/>
    <w:rsid w:val="00CC13C1"/>
    <w:rsid w:val="00CC377D"/>
    <w:rsid w:val="00CC3C12"/>
    <w:rsid w:val="00CC45F7"/>
    <w:rsid w:val="00CC4C8D"/>
    <w:rsid w:val="00CC4F6C"/>
    <w:rsid w:val="00CC5291"/>
    <w:rsid w:val="00CC5B57"/>
    <w:rsid w:val="00CC6F8E"/>
    <w:rsid w:val="00CC7361"/>
    <w:rsid w:val="00CC7D54"/>
    <w:rsid w:val="00CD0814"/>
    <w:rsid w:val="00CD092E"/>
    <w:rsid w:val="00CD096D"/>
    <w:rsid w:val="00CD1420"/>
    <w:rsid w:val="00CD2763"/>
    <w:rsid w:val="00CD282A"/>
    <w:rsid w:val="00CD2A58"/>
    <w:rsid w:val="00CD30BA"/>
    <w:rsid w:val="00CD4265"/>
    <w:rsid w:val="00CD569B"/>
    <w:rsid w:val="00CD70C1"/>
    <w:rsid w:val="00CD70C6"/>
    <w:rsid w:val="00CD7273"/>
    <w:rsid w:val="00CD7C6A"/>
    <w:rsid w:val="00CE1521"/>
    <w:rsid w:val="00CE2073"/>
    <w:rsid w:val="00CE24A4"/>
    <w:rsid w:val="00CE2A96"/>
    <w:rsid w:val="00CE469A"/>
    <w:rsid w:val="00CE503D"/>
    <w:rsid w:val="00CE619B"/>
    <w:rsid w:val="00CE69EB"/>
    <w:rsid w:val="00CE6F82"/>
    <w:rsid w:val="00CE76B1"/>
    <w:rsid w:val="00CE78FD"/>
    <w:rsid w:val="00CE7CF2"/>
    <w:rsid w:val="00CF09B2"/>
    <w:rsid w:val="00CF0F10"/>
    <w:rsid w:val="00CF1700"/>
    <w:rsid w:val="00CF2181"/>
    <w:rsid w:val="00CF26FE"/>
    <w:rsid w:val="00CF45CA"/>
    <w:rsid w:val="00CF4819"/>
    <w:rsid w:val="00CF5F08"/>
    <w:rsid w:val="00CF5FFD"/>
    <w:rsid w:val="00CF6948"/>
    <w:rsid w:val="00CF6D17"/>
    <w:rsid w:val="00CF6F4E"/>
    <w:rsid w:val="00CF76CC"/>
    <w:rsid w:val="00D006C4"/>
    <w:rsid w:val="00D00C7C"/>
    <w:rsid w:val="00D00D49"/>
    <w:rsid w:val="00D01286"/>
    <w:rsid w:val="00D019CF"/>
    <w:rsid w:val="00D027C5"/>
    <w:rsid w:val="00D02A76"/>
    <w:rsid w:val="00D02FA5"/>
    <w:rsid w:val="00D033A6"/>
    <w:rsid w:val="00D035B0"/>
    <w:rsid w:val="00D03850"/>
    <w:rsid w:val="00D03D15"/>
    <w:rsid w:val="00D04231"/>
    <w:rsid w:val="00D04A9A"/>
    <w:rsid w:val="00D04CAC"/>
    <w:rsid w:val="00D04D6D"/>
    <w:rsid w:val="00D05445"/>
    <w:rsid w:val="00D06060"/>
    <w:rsid w:val="00D073F0"/>
    <w:rsid w:val="00D076FF"/>
    <w:rsid w:val="00D07843"/>
    <w:rsid w:val="00D07C2B"/>
    <w:rsid w:val="00D10345"/>
    <w:rsid w:val="00D103F5"/>
    <w:rsid w:val="00D11C4D"/>
    <w:rsid w:val="00D13AE9"/>
    <w:rsid w:val="00D13E85"/>
    <w:rsid w:val="00D14530"/>
    <w:rsid w:val="00D14F0B"/>
    <w:rsid w:val="00D14FAA"/>
    <w:rsid w:val="00D15E85"/>
    <w:rsid w:val="00D1601B"/>
    <w:rsid w:val="00D16AEA"/>
    <w:rsid w:val="00D16F1B"/>
    <w:rsid w:val="00D1704F"/>
    <w:rsid w:val="00D1745C"/>
    <w:rsid w:val="00D20222"/>
    <w:rsid w:val="00D211B3"/>
    <w:rsid w:val="00D21CF6"/>
    <w:rsid w:val="00D22595"/>
    <w:rsid w:val="00D22839"/>
    <w:rsid w:val="00D22E3A"/>
    <w:rsid w:val="00D24CD0"/>
    <w:rsid w:val="00D25419"/>
    <w:rsid w:val="00D25499"/>
    <w:rsid w:val="00D259D4"/>
    <w:rsid w:val="00D26558"/>
    <w:rsid w:val="00D265F3"/>
    <w:rsid w:val="00D26759"/>
    <w:rsid w:val="00D26C74"/>
    <w:rsid w:val="00D30234"/>
    <w:rsid w:val="00D30802"/>
    <w:rsid w:val="00D30BB1"/>
    <w:rsid w:val="00D319F5"/>
    <w:rsid w:val="00D31BF9"/>
    <w:rsid w:val="00D324E9"/>
    <w:rsid w:val="00D33754"/>
    <w:rsid w:val="00D34525"/>
    <w:rsid w:val="00D34D48"/>
    <w:rsid w:val="00D3553D"/>
    <w:rsid w:val="00D35917"/>
    <w:rsid w:val="00D36262"/>
    <w:rsid w:val="00D3630F"/>
    <w:rsid w:val="00D36525"/>
    <w:rsid w:val="00D36D05"/>
    <w:rsid w:val="00D379BE"/>
    <w:rsid w:val="00D37AA9"/>
    <w:rsid w:val="00D4020F"/>
    <w:rsid w:val="00D40D18"/>
    <w:rsid w:val="00D40D82"/>
    <w:rsid w:val="00D40EDB"/>
    <w:rsid w:val="00D42C3E"/>
    <w:rsid w:val="00D42F2E"/>
    <w:rsid w:val="00D43548"/>
    <w:rsid w:val="00D4355A"/>
    <w:rsid w:val="00D438DF"/>
    <w:rsid w:val="00D43E52"/>
    <w:rsid w:val="00D4416F"/>
    <w:rsid w:val="00D44896"/>
    <w:rsid w:val="00D46CF2"/>
    <w:rsid w:val="00D46D97"/>
    <w:rsid w:val="00D46E43"/>
    <w:rsid w:val="00D50931"/>
    <w:rsid w:val="00D511A9"/>
    <w:rsid w:val="00D511E9"/>
    <w:rsid w:val="00D514D0"/>
    <w:rsid w:val="00D51C28"/>
    <w:rsid w:val="00D51C6F"/>
    <w:rsid w:val="00D51E0C"/>
    <w:rsid w:val="00D5218A"/>
    <w:rsid w:val="00D534D9"/>
    <w:rsid w:val="00D551F3"/>
    <w:rsid w:val="00D56155"/>
    <w:rsid w:val="00D57815"/>
    <w:rsid w:val="00D57B09"/>
    <w:rsid w:val="00D60272"/>
    <w:rsid w:val="00D605FF"/>
    <w:rsid w:val="00D60CE6"/>
    <w:rsid w:val="00D6180C"/>
    <w:rsid w:val="00D61BC2"/>
    <w:rsid w:val="00D6218D"/>
    <w:rsid w:val="00D6262C"/>
    <w:rsid w:val="00D627A3"/>
    <w:rsid w:val="00D62C73"/>
    <w:rsid w:val="00D63E12"/>
    <w:rsid w:val="00D64DBB"/>
    <w:rsid w:val="00D70580"/>
    <w:rsid w:val="00D70D85"/>
    <w:rsid w:val="00D70FB0"/>
    <w:rsid w:val="00D71D0E"/>
    <w:rsid w:val="00D72120"/>
    <w:rsid w:val="00D724B7"/>
    <w:rsid w:val="00D743FA"/>
    <w:rsid w:val="00D744C6"/>
    <w:rsid w:val="00D749E9"/>
    <w:rsid w:val="00D74A8B"/>
    <w:rsid w:val="00D7556F"/>
    <w:rsid w:val="00D75636"/>
    <w:rsid w:val="00D779EE"/>
    <w:rsid w:val="00D77A3E"/>
    <w:rsid w:val="00D77BED"/>
    <w:rsid w:val="00D77DAD"/>
    <w:rsid w:val="00D80CD8"/>
    <w:rsid w:val="00D81061"/>
    <w:rsid w:val="00D81D3D"/>
    <w:rsid w:val="00D8239B"/>
    <w:rsid w:val="00D82639"/>
    <w:rsid w:val="00D82D02"/>
    <w:rsid w:val="00D83514"/>
    <w:rsid w:val="00D8351D"/>
    <w:rsid w:val="00D83AAB"/>
    <w:rsid w:val="00D84055"/>
    <w:rsid w:val="00D84BD7"/>
    <w:rsid w:val="00D85FA4"/>
    <w:rsid w:val="00D866E0"/>
    <w:rsid w:val="00D87AB1"/>
    <w:rsid w:val="00D87DFD"/>
    <w:rsid w:val="00D87EB9"/>
    <w:rsid w:val="00D9025C"/>
    <w:rsid w:val="00D903C6"/>
    <w:rsid w:val="00D91BB4"/>
    <w:rsid w:val="00D93903"/>
    <w:rsid w:val="00D93E18"/>
    <w:rsid w:val="00D945AF"/>
    <w:rsid w:val="00D94F6C"/>
    <w:rsid w:val="00D952C5"/>
    <w:rsid w:val="00D96A67"/>
    <w:rsid w:val="00D96AE0"/>
    <w:rsid w:val="00D97C95"/>
    <w:rsid w:val="00D97CC1"/>
    <w:rsid w:val="00D97F3E"/>
    <w:rsid w:val="00DA02EF"/>
    <w:rsid w:val="00DA4462"/>
    <w:rsid w:val="00DA44D8"/>
    <w:rsid w:val="00DA45BE"/>
    <w:rsid w:val="00DA4692"/>
    <w:rsid w:val="00DA4BAC"/>
    <w:rsid w:val="00DA527C"/>
    <w:rsid w:val="00DA55DB"/>
    <w:rsid w:val="00DB076C"/>
    <w:rsid w:val="00DB0A4E"/>
    <w:rsid w:val="00DB0C94"/>
    <w:rsid w:val="00DB1008"/>
    <w:rsid w:val="00DB1C21"/>
    <w:rsid w:val="00DB2428"/>
    <w:rsid w:val="00DB259D"/>
    <w:rsid w:val="00DB4735"/>
    <w:rsid w:val="00DB532C"/>
    <w:rsid w:val="00DB5509"/>
    <w:rsid w:val="00DB559F"/>
    <w:rsid w:val="00DB5933"/>
    <w:rsid w:val="00DB6325"/>
    <w:rsid w:val="00DB6541"/>
    <w:rsid w:val="00DB6B9C"/>
    <w:rsid w:val="00DB75C7"/>
    <w:rsid w:val="00DC0868"/>
    <w:rsid w:val="00DC09B8"/>
    <w:rsid w:val="00DC0EC1"/>
    <w:rsid w:val="00DC10F2"/>
    <w:rsid w:val="00DC3822"/>
    <w:rsid w:val="00DC3A0A"/>
    <w:rsid w:val="00DC44F3"/>
    <w:rsid w:val="00DC4DD3"/>
    <w:rsid w:val="00DC4F73"/>
    <w:rsid w:val="00DC50A7"/>
    <w:rsid w:val="00DC5148"/>
    <w:rsid w:val="00DC5D5D"/>
    <w:rsid w:val="00DC5E2D"/>
    <w:rsid w:val="00DC641A"/>
    <w:rsid w:val="00DC6C78"/>
    <w:rsid w:val="00DC700C"/>
    <w:rsid w:val="00DC7A85"/>
    <w:rsid w:val="00DD01ED"/>
    <w:rsid w:val="00DD028A"/>
    <w:rsid w:val="00DD0F04"/>
    <w:rsid w:val="00DD1582"/>
    <w:rsid w:val="00DD173B"/>
    <w:rsid w:val="00DD1924"/>
    <w:rsid w:val="00DD1F57"/>
    <w:rsid w:val="00DD20EB"/>
    <w:rsid w:val="00DD2385"/>
    <w:rsid w:val="00DD2C6E"/>
    <w:rsid w:val="00DD33B9"/>
    <w:rsid w:val="00DD4A98"/>
    <w:rsid w:val="00DD57ED"/>
    <w:rsid w:val="00DD60F1"/>
    <w:rsid w:val="00DD678A"/>
    <w:rsid w:val="00DD7074"/>
    <w:rsid w:val="00DD73E6"/>
    <w:rsid w:val="00DD7BAF"/>
    <w:rsid w:val="00DE00E5"/>
    <w:rsid w:val="00DE11BC"/>
    <w:rsid w:val="00DE17FC"/>
    <w:rsid w:val="00DE33AC"/>
    <w:rsid w:val="00DE3CFB"/>
    <w:rsid w:val="00DE4AD6"/>
    <w:rsid w:val="00DE5095"/>
    <w:rsid w:val="00DE5DDF"/>
    <w:rsid w:val="00DE5ED7"/>
    <w:rsid w:val="00DE6038"/>
    <w:rsid w:val="00DE66BB"/>
    <w:rsid w:val="00DE6A94"/>
    <w:rsid w:val="00DE6AEA"/>
    <w:rsid w:val="00DE7157"/>
    <w:rsid w:val="00DE7BCA"/>
    <w:rsid w:val="00DF0A76"/>
    <w:rsid w:val="00DF0C27"/>
    <w:rsid w:val="00DF0CA2"/>
    <w:rsid w:val="00DF1642"/>
    <w:rsid w:val="00DF1898"/>
    <w:rsid w:val="00DF1C11"/>
    <w:rsid w:val="00DF1F09"/>
    <w:rsid w:val="00DF314B"/>
    <w:rsid w:val="00DF3CDF"/>
    <w:rsid w:val="00DF44B3"/>
    <w:rsid w:val="00DF45A4"/>
    <w:rsid w:val="00DF4CCF"/>
    <w:rsid w:val="00DF58D0"/>
    <w:rsid w:val="00DF6547"/>
    <w:rsid w:val="00DF6A78"/>
    <w:rsid w:val="00DF72A0"/>
    <w:rsid w:val="00DF744A"/>
    <w:rsid w:val="00DF7EF6"/>
    <w:rsid w:val="00E00742"/>
    <w:rsid w:val="00E008DF"/>
    <w:rsid w:val="00E00A17"/>
    <w:rsid w:val="00E00F63"/>
    <w:rsid w:val="00E0165D"/>
    <w:rsid w:val="00E0329B"/>
    <w:rsid w:val="00E03402"/>
    <w:rsid w:val="00E03EF3"/>
    <w:rsid w:val="00E04988"/>
    <w:rsid w:val="00E04DBD"/>
    <w:rsid w:val="00E051C9"/>
    <w:rsid w:val="00E0526B"/>
    <w:rsid w:val="00E05282"/>
    <w:rsid w:val="00E0654C"/>
    <w:rsid w:val="00E066F2"/>
    <w:rsid w:val="00E0678F"/>
    <w:rsid w:val="00E06DD0"/>
    <w:rsid w:val="00E0725E"/>
    <w:rsid w:val="00E100B3"/>
    <w:rsid w:val="00E105BF"/>
    <w:rsid w:val="00E10C07"/>
    <w:rsid w:val="00E1170D"/>
    <w:rsid w:val="00E121D9"/>
    <w:rsid w:val="00E1220D"/>
    <w:rsid w:val="00E12238"/>
    <w:rsid w:val="00E12BAB"/>
    <w:rsid w:val="00E13B2E"/>
    <w:rsid w:val="00E13E6F"/>
    <w:rsid w:val="00E140FD"/>
    <w:rsid w:val="00E1574A"/>
    <w:rsid w:val="00E15B87"/>
    <w:rsid w:val="00E15CB2"/>
    <w:rsid w:val="00E165A4"/>
    <w:rsid w:val="00E204D5"/>
    <w:rsid w:val="00E2081A"/>
    <w:rsid w:val="00E20ED7"/>
    <w:rsid w:val="00E2121A"/>
    <w:rsid w:val="00E212C4"/>
    <w:rsid w:val="00E2218F"/>
    <w:rsid w:val="00E22B66"/>
    <w:rsid w:val="00E230E4"/>
    <w:rsid w:val="00E2311B"/>
    <w:rsid w:val="00E240A5"/>
    <w:rsid w:val="00E2482D"/>
    <w:rsid w:val="00E25BB7"/>
    <w:rsid w:val="00E25FC3"/>
    <w:rsid w:val="00E26386"/>
    <w:rsid w:val="00E263CF"/>
    <w:rsid w:val="00E273DC"/>
    <w:rsid w:val="00E27AA9"/>
    <w:rsid w:val="00E301BB"/>
    <w:rsid w:val="00E3047E"/>
    <w:rsid w:val="00E315DE"/>
    <w:rsid w:val="00E31816"/>
    <w:rsid w:val="00E3212D"/>
    <w:rsid w:val="00E322A0"/>
    <w:rsid w:val="00E32AD2"/>
    <w:rsid w:val="00E3364B"/>
    <w:rsid w:val="00E351A8"/>
    <w:rsid w:val="00E35699"/>
    <w:rsid w:val="00E36DCB"/>
    <w:rsid w:val="00E37351"/>
    <w:rsid w:val="00E40306"/>
    <w:rsid w:val="00E40AAE"/>
    <w:rsid w:val="00E40C9B"/>
    <w:rsid w:val="00E41B8D"/>
    <w:rsid w:val="00E42676"/>
    <w:rsid w:val="00E43170"/>
    <w:rsid w:val="00E437B2"/>
    <w:rsid w:val="00E43FDA"/>
    <w:rsid w:val="00E440AE"/>
    <w:rsid w:val="00E447AC"/>
    <w:rsid w:val="00E44E02"/>
    <w:rsid w:val="00E45520"/>
    <w:rsid w:val="00E46017"/>
    <w:rsid w:val="00E46359"/>
    <w:rsid w:val="00E474AB"/>
    <w:rsid w:val="00E47C03"/>
    <w:rsid w:val="00E516AD"/>
    <w:rsid w:val="00E51B8A"/>
    <w:rsid w:val="00E524B9"/>
    <w:rsid w:val="00E5289C"/>
    <w:rsid w:val="00E52F37"/>
    <w:rsid w:val="00E5350A"/>
    <w:rsid w:val="00E537F1"/>
    <w:rsid w:val="00E5398E"/>
    <w:rsid w:val="00E554B1"/>
    <w:rsid w:val="00E557F0"/>
    <w:rsid w:val="00E55EA2"/>
    <w:rsid w:val="00E57482"/>
    <w:rsid w:val="00E57AA1"/>
    <w:rsid w:val="00E57B9E"/>
    <w:rsid w:val="00E57FF4"/>
    <w:rsid w:val="00E6082C"/>
    <w:rsid w:val="00E6113A"/>
    <w:rsid w:val="00E61469"/>
    <w:rsid w:val="00E6202E"/>
    <w:rsid w:val="00E62795"/>
    <w:rsid w:val="00E63010"/>
    <w:rsid w:val="00E6386E"/>
    <w:rsid w:val="00E63901"/>
    <w:rsid w:val="00E63A67"/>
    <w:rsid w:val="00E6485D"/>
    <w:rsid w:val="00E648CD"/>
    <w:rsid w:val="00E64D21"/>
    <w:rsid w:val="00E65DDB"/>
    <w:rsid w:val="00E66A21"/>
    <w:rsid w:val="00E6707A"/>
    <w:rsid w:val="00E679CD"/>
    <w:rsid w:val="00E70E98"/>
    <w:rsid w:val="00E710D2"/>
    <w:rsid w:val="00E712AC"/>
    <w:rsid w:val="00E71B1A"/>
    <w:rsid w:val="00E71FBC"/>
    <w:rsid w:val="00E721FD"/>
    <w:rsid w:val="00E72D6C"/>
    <w:rsid w:val="00E7303A"/>
    <w:rsid w:val="00E7307B"/>
    <w:rsid w:val="00E73847"/>
    <w:rsid w:val="00E73AB8"/>
    <w:rsid w:val="00E74896"/>
    <w:rsid w:val="00E74948"/>
    <w:rsid w:val="00E74A44"/>
    <w:rsid w:val="00E74D10"/>
    <w:rsid w:val="00E75FE5"/>
    <w:rsid w:val="00E7651D"/>
    <w:rsid w:val="00E80380"/>
    <w:rsid w:val="00E8040F"/>
    <w:rsid w:val="00E8073C"/>
    <w:rsid w:val="00E81547"/>
    <w:rsid w:val="00E81BA1"/>
    <w:rsid w:val="00E825BC"/>
    <w:rsid w:val="00E82C8F"/>
    <w:rsid w:val="00E83076"/>
    <w:rsid w:val="00E836C4"/>
    <w:rsid w:val="00E83FBD"/>
    <w:rsid w:val="00E844FD"/>
    <w:rsid w:val="00E846B9"/>
    <w:rsid w:val="00E84794"/>
    <w:rsid w:val="00E84A6D"/>
    <w:rsid w:val="00E85467"/>
    <w:rsid w:val="00E856EB"/>
    <w:rsid w:val="00E85C42"/>
    <w:rsid w:val="00E85DB0"/>
    <w:rsid w:val="00E85F39"/>
    <w:rsid w:val="00E8620B"/>
    <w:rsid w:val="00E87B4A"/>
    <w:rsid w:val="00E912AD"/>
    <w:rsid w:val="00E921B6"/>
    <w:rsid w:val="00E9555A"/>
    <w:rsid w:val="00E955AA"/>
    <w:rsid w:val="00E955E1"/>
    <w:rsid w:val="00E958F5"/>
    <w:rsid w:val="00E9685B"/>
    <w:rsid w:val="00E96DBA"/>
    <w:rsid w:val="00E9701C"/>
    <w:rsid w:val="00E976FA"/>
    <w:rsid w:val="00E97DE6"/>
    <w:rsid w:val="00EA10FC"/>
    <w:rsid w:val="00EA19BA"/>
    <w:rsid w:val="00EA3892"/>
    <w:rsid w:val="00EA4443"/>
    <w:rsid w:val="00EA46CB"/>
    <w:rsid w:val="00EA47BE"/>
    <w:rsid w:val="00EA5CB7"/>
    <w:rsid w:val="00EA62D0"/>
    <w:rsid w:val="00EA704E"/>
    <w:rsid w:val="00EB0F05"/>
    <w:rsid w:val="00EB1BB9"/>
    <w:rsid w:val="00EB24B6"/>
    <w:rsid w:val="00EB29DE"/>
    <w:rsid w:val="00EB33CA"/>
    <w:rsid w:val="00EB390A"/>
    <w:rsid w:val="00EB3A85"/>
    <w:rsid w:val="00EB3FB3"/>
    <w:rsid w:val="00EB5002"/>
    <w:rsid w:val="00EB501A"/>
    <w:rsid w:val="00EB5A2B"/>
    <w:rsid w:val="00EB63CA"/>
    <w:rsid w:val="00EB6795"/>
    <w:rsid w:val="00EB6B61"/>
    <w:rsid w:val="00EB6C80"/>
    <w:rsid w:val="00EB6E54"/>
    <w:rsid w:val="00EB719B"/>
    <w:rsid w:val="00EB79A5"/>
    <w:rsid w:val="00EB7A1B"/>
    <w:rsid w:val="00EC019A"/>
    <w:rsid w:val="00EC0C05"/>
    <w:rsid w:val="00EC0D93"/>
    <w:rsid w:val="00EC1E60"/>
    <w:rsid w:val="00EC2181"/>
    <w:rsid w:val="00EC3C8C"/>
    <w:rsid w:val="00EC4315"/>
    <w:rsid w:val="00EC4613"/>
    <w:rsid w:val="00EC4F0F"/>
    <w:rsid w:val="00EC535E"/>
    <w:rsid w:val="00EC59B1"/>
    <w:rsid w:val="00EC61BC"/>
    <w:rsid w:val="00EC63B3"/>
    <w:rsid w:val="00EC699C"/>
    <w:rsid w:val="00EC7839"/>
    <w:rsid w:val="00ED0788"/>
    <w:rsid w:val="00ED12E7"/>
    <w:rsid w:val="00ED238C"/>
    <w:rsid w:val="00ED2762"/>
    <w:rsid w:val="00ED29C2"/>
    <w:rsid w:val="00ED306D"/>
    <w:rsid w:val="00ED3396"/>
    <w:rsid w:val="00ED4595"/>
    <w:rsid w:val="00ED5CE9"/>
    <w:rsid w:val="00ED5DA4"/>
    <w:rsid w:val="00ED5E92"/>
    <w:rsid w:val="00ED6692"/>
    <w:rsid w:val="00ED76E2"/>
    <w:rsid w:val="00ED7A0D"/>
    <w:rsid w:val="00ED7B99"/>
    <w:rsid w:val="00ED7EC1"/>
    <w:rsid w:val="00EE0A3B"/>
    <w:rsid w:val="00EE0D07"/>
    <w:rsid w:val="00EE0E74"/>
    <w:rsid w:val="00EE1241"/>
    <w:rsid w:val="00EE1DAA"/>
    <w:rsid w:val="00EE2051"/>
    <w:rsid w:val="00EE49E9"/>
    <w:rsid w:val="00EE4D13"/>
    <w:rsid w:val="00EE60CF"/>
    <w:rsid w:val="00EE6350"/>
    <w:rsid w:val="00EE67A1"/>
    <w:rsid w:val="00EE760C"/>
    <w:rsid w:val="00EF050F"/>
    <w:rsid w:val="00EF0764"/>
    <w:rsid w:val="00EF0BE8"/>
    <w:rsid w:val="00EF10ED"/>
    <w:rsid w:val="00EF11FF"/>
    <w:rsid w:val="00EF128A"/>
    <w:rsid w:val="00EF12D9"/>
    <w:rsid w:val="00EF12F5"/>
    <w:rsid w:val="00EF2921"/>
    <w:rsid w:val="00EF3AED"/>
    <w:rsid w:val="00EF5B32"/>
    <w:rsid w:val="00EF6476"/>
    <w:rsid w:val="00EF72BC"/>
    <w:rsid w:val="00EF7356"/>
    <w:rsid w:val="00EF7487"/>
    <w:rsid w:val="00EF7936"/>
    <w:rsid w:val="00EF7C96"/>
    <w:rsid w:val="00F000A4"/>
    <w:rsid w:val="00F0033C"/>
    <w:rsid w:val="00F009C2"/>
    <w:rsid w:val="00F016EE"/>
    <w:rsid w:val="00F016F9"/>
    <w:rsid w:val="00F01AB4"/>
    <w:rsid w:val="00F01F32"/>
    <w:rsid w:val="00F029FE"/>
    <w:rsid w:val="00F02B26"/>
    <w:rsid w:val="00F02E0D"/>
    <w:rsid w:val="00F032C9"/>
    <w:rsid w:val="00F0386B"/>
    <w:rsid w:val="00F03E19"/>
    <w:rsid w:val="00F0430A"/>
    <w:rsid w:val="00F04374"/>
    <w:rsid w:val="00F043C1"/>
    <w:rsid w:val="00F0465D"/>
    <w:rsid w:val="00F04B66"/>
    <w:rsid w:val="00F05937"/>
    <w:rsid w:val="00F05C98"/>
    <w:rsid w:val="00F07CF8"/>
    <w:rsid w:val="00F1062B"/>
    <w:rsid w:val="00F107E3"/>
    <w:rsid w:val="00F113D7"/>
    <w:rsid w:val="00F114CA"/>
    <w:rsid w:val="00F120D8"/>
    <w:rsid w:val="00F13786"/>
    <w:rsid w:val="00F13AC9"/>
    <w:rsid w:val="00F13B6E"/>
    <w:rsid w:val="00F140D2"/>
    <w:rsid w:val="00F14C13"/>
    <w:rsid w:val="00F14C42"/>
    <w:rsid w:val="00F16B64"/>
    <w:rsid w:val="00F16DB8"/>
    <w:rsid w:val="00F16E08"/>
    <w:rsid w:val="00F16F1E"/>
    <w:rsid w:val="00F1727B"/>
    <w:rsid w:val="00F17319"/>
    <w:rsid w:val="00F175C8"/>
    <w:rsid w:val="00F17B3E"/>
    <w:rsid w:val="00F17E0D"/>
    <w:rsid w:val="00F201E7"/>
    <w:rsid w:val="00F209C6"/>
    <w:rsid w:val="00F20D7C"/>
    <w:rsid w:val="00F22003"/>
    <w:rsid w:val="00F22D1D"/>
    <w:rsid w:val="00F2478F"/>
    <w:rsid w:val="00F25086"/>
    <w:rsid w:val="00F25495"/>
    <w:rsid w:val="00F26733"/>
    <w:rsid w:val="00F2688A"/>
    <w:rsid w:val="00F26CC0"/>
    <w:rsid w:val="00F274EC"/>
    <w:rsid w:val="00F27927"/>
    <w:rsid w:val="00F31C2C"/>
    <w:rsid w:val="00F322E8"/>
    <w:rsid w:val="00F339EE"/>
    <w:rsid w:val="00F33D30"/>
    <w:rsid w:val="00F345D0"/>
    <w:rsid w:val="00F355BF"/>
    <w:rsid w:val="00F37014"/>
    <w:rsid w:val="00F37313"/>
    <w:rsid w:val="00F3732E"/>
    <w:rsid w:val="00F37D5D"/>
    <w:rsid w:val="00F40DC9"/>
    <w:rsid w:val="00F416AA"/>
    <w:rsid w:val="00F416DC"/>
    <w:rsid w:val="00F42321"/>
    <w:rsid w:val="00F42700"/>
    <w:rsid w:val="00F42910"/>
    <w:rsid w:val="00F43292"/>
    <w:rsid w:val="00F43912"/>
    <w:rsid w:val="00F4411D"/>
    <w:rsid w:val="00F45252"/>
    <w:rsid w:val="00F452C4"/>
    <w:rsid w:val="00F46680"/>
    <w:rsid w:val="00F46963"/>
    <w:rsid w:val="00F46EC6"/>
    <w:rsid w:val="00F47665"/>
    <w:rsid w:val="00F47925"/>
    <w:rsid w:val="00F502D1"/>
    <w:rsid w:val="00F507DD"/>
    <w:rsid w:val="00F50BD5"/>
    <w:rsid w:val="00F51A9F"/>
    <w:rsid w:val="00F52C57"/>
    <w:rsid w:val="00F5556E"/>
    <w:rsid w:val="00F55DC9"/>
    <w:rsid w:val="00F56538"/>
    <w:rsid w:val="00F56AE0"/>
    <w:rsid w:val="00F5792E"/>
    <w:rsid w:val="00F57A91"/>
    <w:rsid w:val="00F57E7F"/>
    <w:rsid w:val="00F60349"/>
    <w:rsid w:val="00F6157C"/>
    <w:rsid w:val="00F62393"/>
    <w:rsid w:val="00F626B8"/>
    <w:rsid w:val="00F6278A"/>
    <w:rsid w:val="00F62B4A"/>
    <w:rsid w:val="00F6374D"/>
    <w:rsid w:val="00F6413E"/>
    <w:rsid w:val="00F64A89"/>
    <w:rsid w:val="00F64B22"/>
    <w:rsid w:val="00F66D0B"/>
    <w:rsid w:val="00F66D7F"/>
    <w:rsid w:val="00F70531"/>
    <w:rsid w:val="00F709B2"/>
    <w:rsid w:val="00F71947"/>
    <w:rsid w:val="00F71BB5"/>
    <w:rsid w:val="00F720AE"/>
    <w:rsid w:val="00F72DE3"/>
    <w:rsid w:val="00F736E5"/>
    <w:rsid w:val="00F74A3D"/>
    <w:rsid w:val="00F74FE2"/>
    <w:rsid w:val="00F75BDE"/>
    <w:rsid w:val="00F761B7"/>
    <w:rsid w:val="00F76E51"/>
    <w:rsid w:val="00F77173"/>
    <w:rsid w:val="00F77216"/>
    <w:rsid w:val="00F77A58"/>
    <w:rsid w:val="00F77B25"/>
    <w:rsid w:val="00F77CA4"/>
    <w:rsid w:val="00F8028D"/>
    <w:rsid w:val="00F8096C"/>
    <w:rsid w:val="00F80D6A"/>
    <w:rsid w:val="00F81B59"/>
    <w:rsid w:val="00F81D92"/>
    <w:rsid w:val="00F822D0"/>
    <w:rsid w:val="00F8285B"/>
    <w:rsid w:val="00F83CF1"/>
    <w:rsid w:val="00F83D60"/>
    <w:rsid w:val="00F84118"/>
    <w:rsid w:val="00F84620"/>
    <w:rsid w:val="00F846C6"/>
    <w:rsid w:val="00F8470C"/>
    <w:rsid w:val="00F84BA9"/>
    <w:rsid w:val="00F85B14"/>
    <w:rsid w:val="00F85F64"/>
    <w:rsid w:val="00F876B7"/>
    <w:rsid w:val="00F9034F"/>
    <w:rsid w:val="00F903C7"/>
    <w:rsid w:val="00F90559"/>
    <w:rsid w:val="00F923A8"/>
    <w:rsid w:val="00F92528"/>
    <w:rsid w:val="00F9295F"/>
    <w:rsid w:val="00F931C7"/>
    <w:rsid w:val="00F93CBD"/>
    <w:rsid w:val="00F93DD3"/>
    <w:rsid w:val="00F952FB"/>
    <w:rsid w:val="00F96114"/>
    <w:rsid w:val="00F97043"/>
    <w:rsid w:val="00F9799B"/>
    <w:rsid w:val="00F97CDD"/>
    <w:rsid w:val="00FA1E22"/>
    <w:rsid w:val="00FA4E16"/>
    <w:rsid w:val="00FA54B7"/>
    <w:rsid w:val="00FA7132"/>
    <w:rsid w:val="00FAA1BF"/>
    <w:rsid w:val="00FB0FD6"/>
    <w:rsid w:val="00FB1C32"/>
    <w:rsid w:val="00FB1EB3"/>
    <w:rsid w:val="00FB2466"/>
    <w:rsid w:val="00FB3C61"/>
    <w:rsid w:val="00FB3D41"/>
    <w:rsid w:val="00FB4035"/>
    <w:rsid w:val="00FB42E6"/>
    <w:rsid w:val="00FB5275"/>
    <w:rsid w:val="00FB5F7C"/>
    <w:rsid w:val="00FB7574"/>
    <w:rsid w:val="00FC0B30"/>
    <w:rsid w:val="00FC0BCD"/>
    <w:rsid w:val="00FC128B"/>
    <w:rsid w:val="00FC15A7"/>
    <w:rsid w:val="00FC1B04"/>
    <w:rsid w:val="00FC210B"/>
    <w:rsid w:val="00FC2224"/>
    <w:rsid w:val="00FC2355"/>
    <w:rsid w:val="00FC3D07"/>
    <w:rsid w:val="00FC43DE"/>
    <w:rsid w:val="00FC4771"/>
    <w:rsid w:val="00FC5722"/>
    <w:rsid w:val="00FC5B4D"/>
    <w:rsid w:val="00FC5DB3"/>
    <w:rsid w:val="00FC60E6"/>
    <w:rsid w:val="00FC6132"/>
    <w:rsid w:val="00FC667E"/>
    <w:rsid w:val="00FD060F"/>
    <w:rsid w:val="00FD0A03"/>
    <w:rsid w:val="00FD0E39"/>
    <w:rsid w:val="00FD0F18"/>
    <w:rsid w:val="00FD17AD"/>
    <w:rsid w:val="00FD2370"/>
    <w:rsid w:val="00FD29D1"/>
    <w:rsid w:val="00FD308D"/>
    <w:rsid w:val="00FD314F"/>
    <w:rsid w:val="00FD3E83"/>
    <w:rsid w:val="00FD3ECB"/>
    <w:rsid w:val="00FD466E"/>
    <w:rsid w:val="00FD4960"/>
    <w:rsid w:val="00FD4DC8"/>
    <w:rsid w:val="00FD4F7F"/>
    <w:rsid w:val="00FD6338"/>
    <w:rsid w:val="00FD6C0E"/>
    <w:rsid w:val="00FD7366"/>
    <w:rsid w:val="00FD7AF7"/>
    <w:rsid w:val="00FDAB8C"/>
    <w:rsid w:val="00FE0BEF"/>
    <w:rsid w:val="00FE13C4"/>
    <w:rsid w:val="00FE1BB2"/>
    <w:rsid w:val="00FE1D20"/>
    <w:rsid w:val="00FE2400"/>
    <w:rsid w:val="00FE3371"/>
    <w:rsid w:val="00FE3B53"/>
    <w:rsid w:val="00FE5161"/>
    <w:rsid w:val="00FE5EEB"/>
    <w:rsid w:val="00FE61D3"/>
    <w:rsid w:val="00FE7E83"/>
    <w:rsid w:val="00FF0143"/>
    <w:rsid w:val="00FF022F"/>
    <w:rsid w:val="00FF02A2"/>
    <w:rsid w:val="00FF0ECF"/>
    <w:rsid w:val="00FF30A7"/>
    <w:rsid w:val="00FF3382"/>
    <w:rsid w:val="00FF365A"/>
    <w:rsid w:val="00FF4AE8"/>
    <w:rsid w:val="00FF5039"/>
    <w:rsid w:val="00FF5B84"/>
    <w:rsid w:val="00FF5E80"/>
    <w:rsid w:val="00FF615D"/>
    <w:rsid w:val="00FF7223"/>
    <w:rsid w:val="00FF7A9A"/>
    <w:rsid w:val="0102B543"/>
    <w:rsid w:val="010EF891"/>
    <w:rsid w:val="0111C400"/>
    <w:rsid w:val="016B4218"/>
    <w:rsid w:val="018B5702"/>
    <w:rsid w:val="018EF8C4"/>
    <w:rsid w:val="01988680"/>
    <w:rsid w:val="01A0034E"/>
    <w:rsid w:val="01AB4B8E"/>
    <w:rsid w:val="01C247D0"/>
    <w:rsid w:val="01CDDE17"/>
    <w:rsid w:val="01DBE997"/>
    <w:rsid w:val="01DF4E85"/>
    <w:rsid w:val="01E1B68D"/>
    <w:rsid w:val="0200176C"/>
    <w:rsid w:val="0205AFD6"/>
    <w:rsid w:val="020C81AE"/>
    <w:rsid w:val="022134BF"/>
    <w:rsid w:val="024B3E1E"/>
    <w:rsid w:val="02697621"/>
    <w:rsid w:val="0273461D"/>
    <w:rsid w:val="027C92C0"/>
    <w:rsid w:val="02AC80F9"/>
    <w:rsid w:val="02D69B09"/>
    <w:rsid w:val="02D86219"/>
    <w:rsid w:val="02D974E3"/>
    <w:rsid w:val="02E7477D"/>
    <w:rsid w:val="0313B2AC"/>
    <w:rsid w:val="032F41C0"/>
    <w:rsid w:val="0350A4B2"/>
    <w:rsid w:val="0367CCBA"/>
    <w:rsid w:val="038A38E2"/>
    <w:rsid w:val="038BD840"/>
    <w:rsid w:val="039221AC"/>
    <w:rsid w:val="03A222B2"/>
    <w:rsid w:val="03B11FBA"/>
    <w:rsid w:val="03C1A8E6"/>
    <w:rsid w:val="03C495DC"/>
    <w:rsid w:val="03C595F8"/>
    <w:rsid w:val="03CE9F6D"/>
    <w:rsid w:val="03DAC10F"/>
    <w:rsid w:val="03DB2DE9"/>
    <w:rsid w:val="043623FA"/>
    <w:rsid w:val="043CB419"/>
    <w:rsid w:val="046A30DE"/>
    <w:rsid w:val="046BA02E"/>
    <w:rsid w:val="04BEDF07"/>
    <w:rsid w:val="04D5D8BF"/>
    <w:rsid w:val="0509DEF8"/>
    <w:rsid w:val="05292A41"/>
    <w:rsid w:val="05747EC6"/>
    <w:rsid w:val="05A3D1F4"/>
    <w:rsid w:val="05ADB6AC"/>
    <w:rsid w:val="05B793BB"/>
    <w:rsid w:val="05F827AF"/>
    <w:rsid w:val="061041E3"/>
    <w:rsid w:val="06179B6B"/>
    <w:rsid w:val="0636C3C0"/>
    <w:rsid w:val="063787AB"/>
    <w:rsid w:val="064D83AE"/>
    <w:rsid w:val="0650580B"/>
    <w:rsid w:val="065379B7"/>
    <w:rsid w:val="066A0AC0"/>
    <w:rsid w:val="06B29183"/>
    <w:rsid w:val="06B4E8B3"/>
    <w:rsid w:val="06B83D1D"/>
    <w:rsid w:val="06BFF4F9"/>
    <w:rsid w:val="06DA9110"/>
    <w:rsid w:val="06DF96D2"/>
    <w:rsid w:val="06E24B21"/>
    <w:rsid w:val="0702B042"/>
    <w:rsid w:val="070A5C0E"/>
    <w:rsid w:val="0714449A"/>
    <w:rsid w:val="07188773"/>
    <w:rsid w:val="0732514E"/>
    <w:rsid w:val="0749907A"/>
    <w:rsid w:val="074EA4AE"/>
    <w:rsid w:val="074F5009"/>
    <w:rsid w:val="077399CD"/>
    <w:rsid w:val="07752593"/>
    <w:rsid w:val="0786E130"/>
    <w:rsid w:val="0789284A"/>
    <w:rsid w:val="07A5ECAC"/>
    <w:rsid w:val="07C95714"/>
    <w:rsid w:val="07E58FB1"/>
    <w:rsid w:val="0808E3E8"/>
    <w:rsid w:val="080C27D9"/>
    <w:rsid w:val="081951CF"/>
    <w:rsid w:val="0824720E"/>
    <w:rsid w:val="08332A71"/>
    <w:rsid w:val="0833E584"/>
    <w:rsid w:val="084AB58B"/>
    <w:rsid w:val="085EE36F"/>
    <w:rsid w:val="08625F7C"/>
    <w:rsid w:val="088863E8"/>
    <w:rsid w:val="0899009C"/>
    <w:rsid w:val="08A4CBDC"/>
    <w:rsid w:val="08AF43DA"/>
    <w:rsid w:val="08BC7FA3"/>
    <w:rsid w:val="08DE4DE6"/>
    <w:rsid w:val="08EB2FB5"/>
    <w:rsid w:val="08F8255D"/>
    <w:rsid w:val="0909E5E7"/>
    <w:rsid w:val="0922D69F"/>
    <w:rsid w:val="092D6BA9"/>
    <w:rsid w:val="09352D1C"/>
    <w:rsid w:val="09424A97"/>
    <w:rsid w:val="0961533E"/>
    <w:rsid w:val="0971E28C"/>
    <w:rsid w:val="0975414D"/>
    <w:rsid w:val="0988B76D"/>
    <w:rsid w:val="09AB8BB0"/>
    <w:rsid w:val="09B04A47"/>
    <w:rsid w:val="09C16E09"/>
    <w:rsid w:val="09D81189"/>
    <w:rsid w:val="0A0DEB01"/>
    <w:rsid w:val="0A309BBA"/>
    <w:rsid w:val="0A34873F"/>
    <w:rsid w:val="0A4A3EAE"/>
    <w:rsid w:val="0A6056E1"/>
    <w:rsid w:val="0A7BEE01"/>
    <w:rsid w:val="0A8684DE"/>
    <w:rsid w:val="0A91B912"/>
    <w:rsid w:val="0ADB134A"/>
    <w:rsid w:val="0ADB46AB"/>
    <w:rsid w:val="0AE7F754"/>
    <w:rsid w:val="0B12D9A5"/>
    <w:rsid w:val="0B1E1C90"/>
    <w:rsid w:val="0B38D640"/>
    <w:rsid w:val="0B40BA8C"/>
    <w:rsid w:val="0B49D7A0"/>
    <w:rsid w:val="0B9292B9"/>
    <w:rsid w:val="0B99B140"/>
    <w:rsid w:val="0BAAD6A2"/>
    <w:rsid w:val="0BC09AA6"/>
    <w:rsid w:val="0BCDF68F"/>
    <w:rsid w:val="0BCEF97A"/>
    <w:rsid w:val="0BD8BEC4"/>
    <w:rsid w:val="0BD98796"/>
    <w:rsid w:val="0BEB013F"/>
    <w:rsid w:val="0BF31661"/>
    <w:rsid w:val="0C0BB0E9"/>
    <w:rsid w:val="0C1BA483"/>
    <w:rsid w:val="0C224816"/>
    <w:rsid w:val="0C2A6236"/>
    <w:rsid w:val="0C2E04BE"/>
    <w:rsid w:val="0C433A9D"/>
    <w:rsid w:val="0C4FB618"/>
    <w:rsid w:val="0C5318D2"/>
    <w:rsid w:val="0C638589"/>
    <w:rsid w:val="0C6CD040"/>
    <w:rsid w:val="0C6D30AD"/>
    <w:rsid w:val="0C6E83D6"/>
    <w:rsid w:val="0C735EBE"/>
    <w:rsid w:val="0CB2D3AB"/>
    <w:rsid w:val="0CDD9579"/>
    <w:rsid w:val="0CEFE3E9"/>
    <w:rsid w:val="0D13E21A"/>
    <w:rsid w:val="0D245DD2"/>
    <w:rsid w:val="0D496D67"/>
    <w:rsid w:val="0D57F8E6"/>
    <w:rsid w:val="0D6DCFE6"/>
    <w:rsid w:val="0D7039E2"/>
    <w:rsid w:val="0D74128E"/>
    <w:rsid w:val="0D8F53A2"/>
    <w:rsid w:val="0D9B7970"/>
    <w:rsid w:val="0DD4FC8F"/>
    <w:rsid w:val="0DFCAC83"/>
    <w:rsid w:val="0E03A73B"/>
    <w:rsid w:val="0E152559"/>
    <w:rsid w:val="0E2BD9F8"/>
    <w:rsid w:val="0E310392"/>
    <w:rsid w:val="0E45BBDD"/>
    <w:rsid w:val="0E469DF4"/>
    <w:rsid w:val="0E508287"/>
    <w:rsid w:val="0E6425EE"/>
    <w:rsid w:val="0E7F3A88"/>
    <w:rsid w:val="0E86309C"/>
    <w:rsid w:val="0E8846AD"/>
    <w:rsid w:val="0E93AFDA"/>
    <w:rsid w:val="0EB15164"/>
    <w:rsid w:val="0EB7AC24"/>
    <w:rsid w:val="0EB8579D"/>
    <w:rsid w:val="0ECDD204"/>
    <w:rsid w:val="0EE8FD3D"/>
    <w:rsid w:val="0EEF79C9"/>
    <w:rsid w:val="0F843DD2"/>
    <w:rsid w:val="0FB021F0"/>
    <w:rsid w:val="0FB2D300"/>
    <w:rsid w:val="0FDEDD8D"/>
    <w:rsid w:val="0FE3FC4B"/>
    <w:rsid w:val="0FEEA7D0"/>
    <w:rsid w:val="100C02BA"/>
    <w:rsid w:val="100FFE6B"/>
    <w:rsid w:val="101DED4E"/>
    <w:rsid w:val="103F4E47"/>
    <w:rsid w:val="105CD860"/>
    <w:rsid w:val="10693687"/>
    <w:rsid w:val="10AEEA1C"/>
    <w:rsid w:val="10BDA533"/>
    <w:rsid w:val="10DC586E"/>
    <w:rsid w:val="10F304A4"/>
    <w:rsid w:val="10FA4F6E"/>
    <w:rsid w:val="11138257"/>
    <w:rsid w:val="113D1376"/>
    <w:rsid w:val="114C3867"/>
    <w:rsid w:val="11505AA5"/>
    <w:rsid w:val="115132D0"/>
    <w:rsid w:val="1168F98F"/>
    <w:rsid w:val="1174CEBA"/>
    <w:rsid w:val="11B8AAB9"/>
    <w:rsid w:val="11CE9821"/>
    <w:rsid w:val="11EBBEDF"/>
    <w:rsid w:val="11F5966F"/>
    <w:rsid w:val="1209C264"/>
    <w:rsid w:val="12279F8B"/>
    <w:rsid w:val="122B8814"/>
    <w:rsid w:val="1248AB8F"/>
    <w:rsid w:val="1258DDC0"/>
    <w:rsid w:val="12646C62"/>
    <w:rsid w:val="12A9F6DD"/>
    <w:rsid w:val="12B0D9B3"/>
    <w:rsid w:val="12BB52CB"/>
    <w:rsid w:val="12D024F1"/>
    <w:rsid w:val="1300B7F7"/>
    <w:rsid w:val="136BB5B4"/>
    <w:rsid w:val="137B2F96"/>
    <w:rsid w:val="13A00234"/>
    <w:rsid w:val="13A74974"/>
    <w:rsid w:val="13AF832C"/>
    <w:rsid w:val="13C570B9"/>
    <w:rsid w:val="13CC724E"/>
    <w:rsid w:val="13D1E096"/>
    <w:rsid w:val="13E67073"/>
    <w:rsid w:val="13ED02F7"/>
    <w:rsid w:val="13FCC1C5"/>
    <w:rsid w:val="13FCC9CF"/>
    <w:rsid w:val="14442C8D"/>
    <w:rsid w:val="146988C8"/>
    <w:rsid w:val="146DBCA6"/>
    <w:rsid w:val="1471477D"/>
    <w:rsid w:val="15087A42"/>
    <w:rsid w:val="150D8F8C"/>
    <w:rsid w:val="152A8C81"/>
    <w:rsid w:val="152B76AE"/>
    <w:rsid w:val="1537D115"/>
    <w:rsid w:val="1559393A"/>
    <w:rsid w:val="157614EB"/>
    <w:rsid w:val="15BB51FF"/>
    <w:rsid w:val="15D125A6"/>
    <w:rsid w:val="15F22106"/>
    <w:rsid w:val="15F39DED"/>
    <w:rsid w:val="160B2FEB"/>
    <w:rsid w:val="16325462"/>
    <w:rsid w:val="163C9F07"/>
    <w:rsid w:val="1681CE29"/>
    <w:rsid w:val="1683FA20"/>
    <w:rsid w:val="169D9018"/>
    <w:rsid w:val="16A1AF01"/>
    <w:rsid w:val="16AF47E7"/>
    <w:rsid w:val="16C0A3AF"/>
    <w:rsid w:val="16FE50FA"/>
    <w:rsid w:val="173598AD"/>
    <w:rsid w:val="176508FD"/>
    <w:rsid w:val="1785079D"/>
    <w:rsid w:val="1799E7AA"/>
    <w:rsid w:val="179C26B8"/>
    <w:rsid w:val="17C884BC"/>
    <w:rsid w:val="17C9BAAA"/>
    <w:rsid w:val="17C9F850"/>
    <w:rsid w:val="17CA3EE4"/>
    <w:rsid w:val="17FEDBB8"/>
    <w:rsid w:val="18011B9B"/>
    <w:rsid w:val="180A7FD0"/>
    <w:rsid w:val="180CC817"/>
    <w:rsid w:val="1814FF00"/>
    <w:rsid w:val="18200401"/>
    <w:rsid w:val="1850E082"/>
    <w:rsid w:val="1852DE94"/>
    <w:rsid w:val="185ADF74"/>
    <w:rsid w:val="186EFFCC"/>
    <w:rsid w:val="186F508C"/>
    <w:rsid w:val="18A23A22"/>
    <w:rsid w:val="18D27D3F"/>
    <w:rsid w:val="18FA2313"/>
    <w:rsid w:val="191DABF3"/>
    <w:rsid w:val="1923D8F4"/>
    <w:rsid w:val="1937DC65"/>
    <w:rsid w:val="196219C0"/>
    <w:rsid w:val="1967772E"/>
    <w:rsid w:val="196B700D"/>
    <w:rsid w:val="198C78D8"/>
    <w:rsid w:val="1992F4D8"/>
    <w:rsid w:val="19E9DF9E"/>
    <w:rsid w:val="1A067142"/>
    <w:rsid w:val="1A2327BB"/>
    <w:rsid w:val="1A260542"/>
    <w:rsid w:val="1A389430"/>
    <w:rsid w:val="1A66B35E"/>
    <w:rsid w:val="1A6A55F7"/>
    <w:rsid w:val="1A7E0D10"/>
    <w:rsid w:val="1A959672"/>
    <w:rsid w:val="1A96F84D"/>
    <w:rsid w:val="1A97FA96"/>
    <w:rsid w:val="1AC401B1"/>
    <w:rsid w:val="1AC675DB"/>
    <w:rsid w:val="1AD0A482"/>
    <w:rsid w:val="1AD7F36B"/>
    <w:rsid w:val="1B274982"/>
    <w:rsid w:val="1B4D83A3"/>
    <w:rsid w:val="1B85DCAE"/>
    <w:rsid w:val="1B884204"/>
    <w:rsid w:val="1B9EE8E5"/>
    <w:rsid w:val="1BA3034C"/>
    <w:rsid w:val="1BBB0CCB"/>
    <w:rsid w:val="1BE74E50"/>
    <w:rsid w:val="1C2B6123"/>
    <w:rsid w:val="1C5F098C"/>
    <w:rsid w:val="1C609C20"/>
    <w:rsid w:val="1C6AF2BA"/>
    <w:rsid w:val="1C801772"/>
    <w:rsid w:val="1C95ED82"/>
    <w:rsid w:val="1CCAB6F3"/>
    <w:rsid w:val="1CD0970D"/>
    <w:rsid w:val="1D0366EE"/>
    <w:rsid w:val="1D0BEFD2"/>
    <w:rsid w:val="1D15CE55"/>
    <w:rsid w:val="1D4FEC4E"/>
    <w:rsid w:val="1D5C88A9"/>
    <w:rsid w:val="1DB0EB4A"/>
    <w:rsid w:val="1DC6F10A"/>
    <w:rsid w:val="1DF61AA9"/>
    <w:rsid w:val="1E072298"/>
    <w:rsid w:val="1E089A8D"/>
    <w:rsid w:val="1E496563"/>
    <w:rsid w:val="1E5E9026"/>
    <w:rsid w:val="1E6E4A45"/>
    <w:rsid w:val="1E96ED35"/>
    <w:rsid w:val="1EA0CF97"/>
    <w:rsid w:val="1EA2288F"/>
    <w:rsid w:val="1EA38F54"/>
    <w:rsid w:val="1F1770D4"/>
    <w:rsid w:val="1FA590EF"/>
    <w:rsid w:val="1FA9360A"/>
    <w:rsid w:val="1FBD7F9E"/>
    <w:rsid w:val="1FC1CC39"/>
    <w:rsid w:val="1FD3B53F"/>
    <w:rsid w:val="1FE2CFBF"/>
    <w:rsid w:val="1FFEF3BA"/>
    <w:rsid w:val="202E2B2C"/>
    <w:rsid w:val="202EA845"/>
    <w:rsid w:val="2031699B"/>
    <w:rsid w:val="203274D4"/>
    <w:rsid w:val="2077851D"/>
    <w:rsid w:val="207DC22D"/>
    <w:rsid w:val="20ED40B4"/>
    <w:rsid w:val="211BDA58"/>
    <w:rsid w:val="212232B0"/>
    <w:rsid w:val="215973E6"/>
    <w:rsid w:val="216088A6"/>
    <w:rsid w:val="216C7ACA"/>
    <w:rsid w:val="217E68DB"/>
    <w:rsid w:val="219306CF"/>
    <w:rsid w:val="219E8563"/>
    <w:rsid w:val="21A60249"/>
    <w:rsid w:val="21A9753F"/>
    <w:rsid w:val="21ABC636"/>
    <w:rsid w:val="21AC6E30"/>
    <w:rsid w:val="21CC4E0C"/>
    <w:rsid w:val="21CE3288"/>
    <w:rsid w:val="21E493BB"/>
    <w:rsid w:val="21EFBB29"/>
    <w:rsid w:val="21FE7925"/>
    <w:rsid w:val="2209C072"/>
    <w:rsid w:val="220E81D0"/>
    <w:rsid w:val="223EA80A"/>
    <w:rsid w:val="2241E136"/>
    <w:rsid w:val="22442579"/>
    <w:rsid w:val="224FAB45"/>
    <w:rsid w:val="225E5DCF"/>
    <w:rsid w:val="2297242B"/>
    <w:rsid w:val="2299B9F7"/>
    <w:rsid w:val="22A03A1A"/>
    <w:rsid w:val="22BE74A3"/>
    <w:rsid w:val="22D7F159"/>
    <w:rsid w:val="22FBDB34"/>
    <w:rsid w:val="23211ECC"/>
    <w:rsid w:val="23445453"/>
    <w:rsid w:val="2350786E"/>
    <w:rsid w:val="23643659"/>
    <w:rsid w:val="237399C7"/>
    <w:rsid w:val="23CD6DDA"/>
    <w:rsid w:val="23D9DA35"/>
    <w:rsid w:val="23DD6877"/>
    <w:rsid w:val="23EB90BF"/>
    <w:rsid w:val="23FFD630"/>
    <w:rsid w:val="240672C7"/>
    <w:rsid w:val="24075D7F"/>
    <w:rsid w:val="2411419E"/>
    <w:rsid w:val="2416A385"/>
    <w:rsid w:val="2429460D"/>
    <w:rsid w:val="244762D4"/>
    <w:rsid w:val="244B6BC8"/>
    <w:rsid w:val="2453F7F6"/>
    <w:rsid w:val="245D3A31"/>
    <w:rsid w:val="2467C3A0"/>
    <w:rsid w:val="246999E3"/>
    <w:rsid w:val="2485030B"/>
    <w:rsid w:val="249B5C51"/>
    <w:rsid w:val="24B29FE7"/>
    <w:rsid w:val="24C442DB"/>
    <w:rsid w:val="24D8AB63"/>
    <w:rsid w:val="24FFB902"/>
    <w:rsid w:val="25015D1C"/>
    <w:rsid w:val="250C7E4D"/>
    <w:rsid w:val="25303985"/>
    <w:rsid w:val="25379245"/>
    <w:rsid w:val="253C398D"/>
    <w:rsid w:val="2582C04C"/>
    <w:rsid w:val="258F3265"/>
    <w:rsid w:val="2598F292"/>
    <w:rsid w:val="25A7082D"/>
    <w:rsid w:val="25B8ECBC"/>
    <w:rsid w:val="25CC4956"/>
    <w:rsid w:val="25D11DF1"/>
    <w:rsid w:val="25D19124"/>
    <w:rsid w:val="25DBF9D4"/>
    <w:rsid w:val="25E837AE"/>
    <w:rsid w:val="26084DEF"/>
    <w:rsid w:val="26525B10"/>
    <w:rsid w:val="26547352"/>
    <w:rsid w:val="265C841C"/>
    <w:rsid w:val="26601920"/>
    <w:rsid w:val="2668BA9D"/>
    <w:rsid w:val="2673C46C"/>
    <w:rsid w:val="26833810"/>
    <w:rsid w:val="26A24C9B"/>
    <w:rsid w:val="26B4C694"/>
    <w:rsid w:val="26E55377"/>
    <w:rsid w:val="26E8379B"/>
    <w:rsid w:val="26E8A522"/>
    <w:rsid w:val="2722C351"/>
    <w:rsid w:val="272AFC48"/>
    <w:rsid w:val="273A32C3"/>
    <w:rsid w:val="27427D7E"/>
    <w:rsid w:val="274D1092"/>
    <w:rsid w:val="276C2AAB"/>
    <w:rsid w:val="276F5C33"/>
    <w:rsid w:val="278BB92F"/>
    <w:rsid w:val="27A8584F"/>
    <w:rsid w:val="27B4FB5F"/>
    <w:rsid w:val="27BB6D7D"/>
    <w:rsid w:val="27CA8A2C"/>
    <w:rsid w:val="27DF6002"/>
    <w:rsid w:val="27DF9BC8"/>
    <w:rsid w:val="27E99102"/>
    <w:rsid w:val="27F262E4"/>
    <w:rsid w:val="28072E01"/>
    <w:rsid w:val="2826ED8A"/>
    <w:rsid w:val="282D43AD"/>
    <w:rsid w:val="28326AB8"/>
    <w:rsid w:val="28456BE7"/>
    <w:rsid w:val="284A9666"/>
    <w:rsid w:val="28503026"/>
    <w:rsid w:val="2851F827"/>
    <w:rsid w:val="288ED12A"/>
    <w:rsid w:val="2894FC4D"/>
    <w:rsid w:val="289D8A8E"/>
    <w:rsid w:val="28A6DD64"/>
    <w:rsid w:val="28B40B4F"/>
    <w:rsid w:val="28EFF7A2"/>
    <w:rsid w:val="29307D0F"/>
    <w:rsid w:val="2939868F"/>
    <w:rsid w:val="29445E7A"/>
    <w:rsid w:val="2969E909"/>
    <w:rsid w:val="298FDD75"/>
    <w:rsid w:val="2997B7EA"/>
    <w:rsid w:val="29A2B97F"/>
    <w:rsid w:val="29BC36C5"/>
    <w:rsid w:val="29BFB77B"/>
    <w:rsid w:val="29C56225"/>
    <w:rsid w:val="29D0E46E"/>
    <w:rsid w:val="29FFE39F"/>
    <w:rsid w:val="2A06944D"/>
    <w:rsid w:val="2A140185"/>
    <w:rsid w:val="2A37F7FA"/>
    <w:rsid w:val="2A39C154"/>
    <w:rsid w:val="2A4B0925"/>
    <w:rsid w:val="2A637734"/>
    <w:rsid w:val="2A8EF45D"/>
    <w:rsid w:val="2A9F68BD"/>
    <w:rsid w:val="2AC99976"/>
    <w:rsid w:val="2ACE7C8C"/>
    <w:rsid w:val="2AD9338F"/>
    <w:rsid w:val="2AE4B846"/>
    <w:rsid w:val="2B0AB945"/>
    <w:rsid w:val="2B0E434B"/>
    <w:rsid w:val="2B20D796"/>
    <w:rsid w:val="2B212E57"/>
    <w:rsid w:val="2B32B47C"/>
    <w:rsid w:val="2B638129"/>
    <w:rsid w:val="2B6905F5"/>
    <w:rsid w:val="2B6AA448"/>
    <w:rsid w:val="2B6E7A94"/>
    <w:rsid w:val="2B825B5A"/>
    <w:rsid w:val="2BB0254D"/>
    <w:rsid w:val="2BB7E1FD"/>
    <w:rsid w:val="2BFDC15C"/>
    <w:rsid w:val="2C0AFB33"/>
    <w:rsid w:val="2C19CF5E"/>
    <w:rsid w:val="2C3F5024"/>
    <w:rsid w:val="2C4245C4"/>
    <w:rsid w:val="2C503907"/>
    <w:rsid w:val="2C5DECFB"/>
    <w:rsid w:val="2C741F8E"/>
    <w:rsid w:val="2C850554"/>
    <w:rsid w:val="2CA84850"/>
    <w:rsid w:val="2CBEFE49"/>
    <w:rsid w:val="2CCAC7AC"/>
    <w:rsid w:val="2CF3EF3F"/>
    <w:rsid w:val="2CFC3B03"/>
    <w:rsid w:val="2D2B2680"/>
    <w:rsid w:val="2D3E2065"/>
    <w:rsid w:val="2D4547C6"/>
    <w:rsid w:val="2D5938C0"/>
    <w:rsid w:val="2D5A4D76"/>
    <w:rsid w:val="2D64F77D"/>
    <w:rsid w:val="2DA5668E"/>
    <w:rsid w:val="2DA8C422"/>
    <w:rsid w:val="2DBE633C"/>
    <w:rsid w:val="2E009ED1"/>
    <w:rsid w:val="2E02AC05"/>
    <w:rsid w:val="2E0EB121"/>
    <w:rsid w:val="2E112819"/>
    <w:rsid w:val="2E198AE2"/>
    <w:rsid w:val="2E1B0ED7"/>
    <w:rsid w:val="2E312DF5"/>
    <w:rsid w:val="2E49650F"/>
    <w:rsid w:val="2E527F86"/>
    <w:rsid w:val="2E68386B"/>
    <w:rsid w:val="2E733EF0"/>
    <w:rsid w:val="2E8E0FE0"/>
    <w:rsid w:val="2E9D55B5"/>
    <w:rsid w:val="2EAAE701"/>
    <w:rsid w:val="2EAC5D73"/>
    <w:rsid w:val="2EAC6EF2"/>
    <w:rsid w:val="2EAE8E4C"/>
    <w:rsid w:val="2EC20581"/>
    <w:rsid w:val="2EC2B213"/>
    <w:rsid w:val="2ED4C856"/>
    <w:rsid w:val="2EE09ADB"/>
    <w:rsid w:val="2EE249F2"/>
    <w:rsid w:val="2EE5D211"/>
    <w:rsid w:val="2EE8E85D"/>
    <w:rsid w:val="2EF1BEDC"/>
    <w:rsid w:val="2F2BE9CD"/>
    <w:rsid w:val="2F2E4394"/>
    <w:rsid w:val="2F59E8B5"/>
    <w:rsid w:val="2F5E4636"/>
    <w:rsid w:val="2F654AF7"/>
    <w:rsid w:val="2F68A33B"/>
    <w:rsid w:val="2F74D542"/>
    <w:rsid w:val="2FA7EB0B"/>
    <w:rsid w:val="2FAC908B"/>
    <w:rsid w:val="2FB738F0"/>
    <w:rsid w:val="2FDC82CC"/>
    <w:rsid w:val="2FE0F5FE"/>
    <w:rsid w:val="301098DB"/>
    <w:rsid w:val="302BC851"/>
    <w:rsid w:val="303D84B2"/>
    <w:rsid w:val="305016E2"/>
    <w:rsid w:val="30677671"/>
    <w:rsid w:val="30797463"/>
    <w:rsid w:val="308382CD"/>
    <w:rsid w:val="3089AED8"/>
    <w:rsid w:val="308ED505"/>
    <w:rsid w:val="30BA2FA2"/>
    <w:rsid w:val="30BA6A59"/>
    <w:rsid w:val="30C09455"/>
    <w:rsid w:val="30DD5594"/>
    <w:rsid w:val="3107412E"/>
    <w:rsid w:val="314C4FBD"/>
    <w:rsid w:val="314EE4CA"/>
    <w:rsid w:val="31638EE3"/>
    <w:rsid w:val="318EB486"/>
    <w:rsid w:val="31AAB584"/>
    <w:rsid w:val="31B221C4"/>
    <w:rsid w:val="31B962C9"/>
    <w:rsid w:val="31CA17B7"/>
    <w:rsid w:val="32049D7D"/>
    <w:rsid w:val="32150E30"/>
    <w:rsid w:val="3229F16C"/>
    <w:rsid w:val="32748128"/>
    <w:rsid w:val="329DB4DE"/>
    <w:rsid w:val="32A76605"/>
    <w:rsid w:val="32C439A4"/>
    <w:rsid w:val="32D443B5"/>
    <w:rsid w:val="32E2080F"/>
    <w:rsid w:val="32E4EB63"/>
    <w:rsid w:val="32EBA36E"/>
    <w:rsid w:val="32EF318C"/>
    <w:rsid w:val="331AEA3C"/>
    <w:rsid w:val="3331BCA1"/>
    <w:rsid w:val="3334A9F6"/>
    <w:rsid w:val="33455D8F"/>
    <w:rsid w:val="3384BA9E"/>
    <w:rsid w:val="3396B05D"/>
    <w:rsid w:val="33A26BEF"/>
    <w:rsid w:val="33A5EF2F"/>
    <w:rsid w:val="33AE7630"/>
    <w:rsid w:val="33D5C1A3"/>
    <w:rsid w:val="33E6A02D"/>
    <w:rsid w:val="340238D0"/>
    <w:rsid w:val="34209B38"/>
    <w:rsid w:val="346A3818"/>
    <w:rsid w:val="34744656"/>
    <w:rsid w:val="348BE46D"/>
    <w:rsid w:val="34924AA8"/>
    <w:rsid w:val="34A7427A"/>
    <w:rsid w:val="34AB7357"/>
    <w:rsid w:val="34D70515"/>
    <w:rsid w:val="35255173"/>
    <w:rsid w:val="3525568E"/>
    <w:rsid w:val="35421554"/>
    <w:rsid w:val="35541E00"/>
    <w:rsid w:val="355AAE81"/>
    <w:rsid w:val="355D4CB6"/>
    <w:rsid w:val="35B62F5D"/>
    <w:rsid w:val="35C2A7F8"/>
    <w:rsid w:val="35C60846"/>
    <w:rsid w:val="35EB2DA1"/>
    <w:rsid w:val="36226C5F"/>
    <w:rsid w:val="364C2396"/>
    <w:rsid w:val="3671AEAE"/>
    <w:rsid w:val="36A68EC0"/>
    <w:rsid w:val="36CBC86A"/>
    <w:rsid w:val="36E63EB8"/>
    <w:rsid w:val="36FE64C9"/>
    <w:rsid w:val="372B0CDE"/>
    <w:rsid w:val="372BAA19"/>
    <w:rsid w:val="374AD6D8"/>
    <w:rsid w:val="375078EB"/>
    <w:rsid w:val="37AEF863"/>
    <w:rsid w:val="37C827AF"/>
    <w:rsid w:val="37CF0002"/>
    <w:rsid w:val="37CF6E6B"/>
    <w:rsid w:val="380526B1"/>
    <w:rsid w:val="3812F687"/>
    <w:rsid w:val="381524C8"/>
    <w:rsid w:val="38397121"/>
    <w:rsid w:val="383A1DA1"/>
    <w:rsid w:val="384D4F88"/>
    <w:rsid w:val="387D8EA6"/>
    <w:rsid w:val="3880C3C9"/>
    <w:rsid w:val="38A1CF26"/>
    <w:rsid w:val="38ACFFC2"/>
    <w:rsid w:val="38E13450"/>
    <w:rsid w:val="38EB90A3"/>
    <w:rsid w:val="38FA9D2C"/>
    <w:rsid w:val="390D9F86"/>
    <w:rsid w:val="390F054B"/>
    <w:rsid w:val="391C4CBD"/>
    <w:rsid w:val="3930E53F"/>
    <w:rsid w:val="395F740A"/>
    <w:rsid w:val="398EC3B7"/>
    <w:rsid w:val="39997065"/>
    <w:rsid w:val="3999C2D9"/>
    <w:rsid w:val="39A2522C"/>
    <w:rsid w:val="39AC1238"/>
    <w:rsid w:val="39C310D6"/>
    <w:rsid w:val="39D18E92"/>
    <w:rsid w:val="39F5EA4A"/>
    <w:rsid w:val="3A1C37B7"/>
    <w:rsid w:val="3A29F4FC"/>
    <w:rsid w:val="3A474F3F"/>
    <w:rsid w:val="3A54BC59"/>
    <w:rsid w:val="3A78862C"/>
    <w:rsid w:val="3A85F0A4"/>
    <w:rsid w:val="3A901D00"/>
    <w:rsid w:val="3A99EEB7"/>
    <w:rsid w:val="3AB69705"/>
    <w:rsid w:val="3AE0930A"/>
    <w:rsid w:val="3AFBFE87"/>
    <w:rsid w:val="3B0C150F"/>
    <w:rsid w:val="3B0F1102"/>
    <w:rsid w:val="3B15C4E7"/>
    <w:rsid w:val="3B40A56F"/>
    <w:rsid w:val="3B40C9D9"/>
    <w:rsid w:val="3B4B8C50"/>
    <w:rsid w:val="3B595660"/>
    <w:rsid w:val="3B890C9A"/>
    <w:rsid w:val="3BA9802D"/>
    <w:rsid w:val="3BF470AB"/>
    <w:rsid w:val="3BF90DB9"/>
    <w:rsid w:val="3BF9D4C0"/>
    <w:rsid w:val="3C19AA9E"/>
    <w:rsid w:val="3C252F5F"/>
    <w:rsid w:val="3C299D4B"/>
    <w:rsid w:val="3C34283F"/>
    <w:rsid w:val="3C4F255A"/>
    <w:rsid w:val="3C68EDC5"/>
    <w:rsid w:val="3C763FF6"/>
    <w:rsid w:val="3C8CA29F"/>
    <w:rsid w:val="3C9C705D"/>
    <w:rsid w:val="3C9D1DE3"/>
    <w:rsid w:val="3CA8EC69"/>
    <w:rsid w:val="3CAE6595"/>
    <w:rsid w:val="3CB8EFD1"/>
    <w:rsid w:val="3CD6AEDA"/>
    <w:rsid w:val="3CD9E68E"/>
    <w:rsid w:val="3CDA13B7"/>
    <w:rsid w:val="3CEC45AB"/>
    <w:rsid w:val="3CFF15A5"/>
    <w:rsid w:val="3D1827E6"/>
    <w:rsid w:val="3D1FA9C4"/>
    <w:rsid w:val="3D2EFAAD"/>
    <w:rsid w:val="3D9BDCEE"/>
    <w:rsid w:val="3DAC9D07"/>
    <w:rsid w:val="3DCCE596"/>
    <w:rsid w:val="3DD9CB93"/>
    <w:rsid w:val="3DDAFE27"/>
    <w:rsid w:val="3DEC45C1"/>
    <w:rsid w:val="3E15A0D7"/>
    <w:rsid w:val="3E3030B4"/>
    <w:rsid w:val="3E6BBB41"/>
    <w:rsid w:val="3E7A3EDE"/>
    <w:rsid w:val="3ECCFB84"/>
    <w:rsid w:val="3ECE9BBC"/>
    <w:rsid w:val="3EF28EAF"/>
    <w:rsid w:val="3EFBDE4D"/>
    <w:rsid w:val="3F06FD2A"/>
    <w:rsid w:val="3F101A36"/>
    <w:rsid w:val="3F2119EE"/>
    <w:rsid w:val="3F3A3888"/>
    <w:rsid w:val="3F3A7B30"/>
    <w:rsid w:val="3F44C21B"/>
    <w:rsid w:val="3F5C2F34"/>
    <w:rsid w:val="3F6656C8"/>
    <w:rsid w:val="3F6CBE9F"/>
    <w:rsid w:val="3F8DF2FF"/>
    <w:rsid w:val="3F927AF6"/>
    <w:rsid w:val="3F966288"/>
    <w:rsid w:val="3F99CDF1"/>
    <w:rsid w:val="3FA2F58E"/>
    <w:rsid w:val="3FDACA6A"/>
    <w:rsid w:val="4057297F"/>
    <w:rsid w:val="4091685E"/>
    <w:rsid w:val="4091CD64"/>
    <w:rsid w:val="40A4D6AB"/>
    <w:rsid w:val="40B1F473"/>
    <w:rsid w:val="40B475D9"/>
    <w:rsid w:val="40B9B23E"/>
    <w:rsid w:val="40D024D9"/>
    <w:rsid w:val="4122C4CD"/>
    <w:rsid w:val="4145D2AF"/>
    <w:rsid w:val="4149D955"/>
    <w:rsid w:val="4158B7A1"/>
    <w:rsid w:val="41625F79"/>
    <w:rsid w:val="416CFEBB"/>
    <w:rsid w:val="41742639"/>
    <w:rsid w:val="418852F6"/>
    <w:rsid w:val="41A60EBC"/>
    <w:rsid w:val="41AA98A2"/>
    <w:rsid w:val="41B357B1"/>
    <w:rsid w:val="41C28F8F"/>
    <w:rsid w:val="41D4AA0F"/>
    <w:rsid w:val="41DAB92F"/>
    <w:rsid w:val="41F71EF0"/>
    <w:rsid w:val="42069EBF"/>
    <w:rsid w:val="422D2F54"/>
    <w:rsid w:val="42300D55"/>
    <w:rsid w:val="424F9401"/>
    <w:rsid w:val="428E31AF"/>
    <w:rsid w:val="429656C4"/>
    <w:rsid w:val="42A81C44"/>
    <w:rsid w:val="42B8C2C1"/>
    <w:rsid w:val="42BB1218"/>
    <w:rsid w:val="42F78A56"/>
    <w:rsid w:val="42F88FDE"/>
    <w:rsid w:val="4329BC74"/>
    <w:rsid w:val="434A3EE4"/>
    <w:rsid w:val="43813E7F"/>
    <w:rsid w:val="4390F466"/>
    <w:rsid w:val="4391036F"/>
    <w:rsid w:val="43BBB07C"/>
    <w:rsid w:val="43CF6ADA"/>
    <w:rsid w:val="43D25FE3"/>
    <w:rsid w:val="43DCA5AC"/>
    <w:rsid w:val="43E36438"/>
    <w:rsid w:val="43E49D0B"/>
    <w:rsid w:val="43FE1198"/>
    <w:rsid w:val="4429BE84"/>
    <w:rsid w:val="444566E1"/>
    <w:rsid w:val="4447BF7C"/>
    <w:rsid w:val="4455991D"/>
    <w:rsid w:val="44613007"/>
    <w:rsid w:val="44625CD2"/>
    <w:rsid w:val="44678AE1"/>
    <w:rsid w:val="44691EAC"/>
    <w:rsid w:val="4477AB82"/>
    <w:rsid w:val="44850588"/>
    <w:rsid w:val="44A10E28"/>
    <w:rsid w:val="44B281DB"/>
    <w:rsid w:val="44C265A5"/>
    <w:rsid w:val="44C3318A"/>
    <w:rsid w:val="451F3CF6"/>
    <w:rsid w:val="45273433"/>
    <w:rsid w:val="4528F639"/>
    <w:rsid w:val="45766C68"/>
    <w:rsid w:val="4576BA59"/>
    <w:rsid w:val="4577FE36"/>
    <w:rsid w:val="457A74AC"/>
    <w:rsid w:val="457B5862"/>
    <w:rsid w:val="45C2EAB2"/>
    <w:rsid w:val="45F03455"/>
    <w:rsid w:val="4616BDE9"/>
    <w:rsid w:val="4617BCDA"/>
    <w:rsid w:val="462F02EA"/>
    <w:rsid w:val="463EB6AB"/>
    <w:rsid w:val="4655536F"/>
    <w:rsid w:val="465A742F"/>
    <w:rsid w:val="465F7A3A"/>
    <w:rsid w:val="467A87E8"/>
    <w:rsid w:val="46804CC8"/>
    <w:rsid w:val="46AE91E4"/>
    <w:rsid w:val="46B0509D"/>
    <w:rsid w:val="46DC2B0D"/>
    <w:rsid w:val="46E047C2"/>
    <w:rsid w:val="46E0B76E"/>
    <w:rsid w:val="47074DB4"/>
    <w:rsid w:val="4715E369"/>
    <w:rsid w:val="471A974B"/>
    <w:rsid w:val="4723445E"/>
    <w:rsid w:val="47466D9E"/>
    <w:rsid w:val="4754F6DA"/>
    <w:rsid w:val="476FBA4C"/>
    <w:rsid w:val="4777E3AB"/>
    <w:rsid w:val="477B9D38"/>
    <w:rsid w:val="47942481"/>
    <w:rsid w:val="480AC45B"/>
    <w:rsid w:val="4820C88A"/>
    <w:rsid w:val="482B0AF9"/>
    <w:rsid w:val="482C1915"/>
    <w:rsid w:val="482F9AD3"/>
    <w:rsid w:val="4831630B"/>
    <w:rsid w:val="4831A069"/>
    <w:rsid w:val="48438226"/>
    <w:rsid w:val="484B6EB1"/>
    <w:rsid w:val="485B2C10"/>
    <w:rsid w:val="4865CC31"/>
    <w:rsid w:val="486D070E"/>
    <w:rsid w:val="4872C72D"/>
    <w:rsid w:val="4874970E"/>
    <w:rsid w:val="4881EE1B"/>
    <w:rsid w:val="4883EECE"/>
    <w:rsid w:val="4884DD51"/>
    <w:rsid w:val="4891436D"/>
    <w:rsid w:val="48A75C66"/>
    <w:rsid w:val="48BB65AE"/>
    <w:rsid w:val="48E30FC3"/>
    <w:rsid w:val="48F3B9F7"/>
    <w:rsid w:val="4913F8A1"/>
    <w:rsid w:val="494910EB"/>
    <w:rsid w:val="49642CB1"/>
    <w:rsid w:val="498E41C7"/>
    <w:rsid w:val="498E6982"/>
    <w:rsid w:val="499D18D5"/>
    <w:rsid w:val="49A42CE3"/>
    <w:rsid w:val="49B00B4F"/>
    <w:rsid w:val="49D4AFE1"/>
    <w:rsid w:val="49D655A2"/>
    <w:rsid w:val="49DA7C2F"/>
    <w:rsid w:val="4A049DA0"/>
    <w:rsid w:val="4A0CE207"/>
    <w:rsid w:val="4A24FEA0"/>
    <w:rsid w:val="4A4AD50D"/>
    <w:rsid w:val="4A81061A"/>
    <w:rsid w:val="4A855576"/>
    <w:rsid w:val="4A8C02A9"/>
    <w:rsid w:val="4AA3BC01"/>
    <w:rsid w:val="4AB3699B"/>
    <w:rsid w:val="4AB4F20E"/>
    <w:rsid w:val="4ABF7C26"/>
    <w:rsid w:val="4AC03445"/>
    <w:rsid w:val="4AC16D0A"/>
    <w:rsid w:val="4AC58F36"/>
    <w:rsid w:val="4B046BC0"/>
    <w:rsid w:val="4B07A880"/>
    <w:rsid w:val="4B38BFB0"/>
    <w:rsid w:val="4B57D1BB"/>
    <w:rsid w:val="4B5AFF60"/>
    <w:rsid w:val="4B75E8D9"/>
    <w:rsid w:val="4B775313"/>
    <w:rsid w:val="4B8E55D2"/>
    <w:rsid w:val="4B9F3942"/>
    <w:rsid w:val="4BEA800B"/>
    <w:rsid w:val="4BEF5738"/>
    <w:rsid w:val="4C1D5EE9"/>
    <w:rsid w:val="4C312F2A"/>
    <w:rsid w:val="4C58A75A"/>
    <w:rsid w:val="4C5E3C6E"/>
    <w:rsid w:val="4C75CBA9"/>
    <w:rsid w:val="4C8A12E0"/>
    <w:rsid w:val="4C9DFBE1"/>
    <w:rsid w:val="4CB77446"/>
    <w:rsid w:val="4CBB6818"/>
    <w:rsid w:val="4CC70B62"/>
    <w:rsid w:val="4CC89F22"/>
    <w:rsid w:val="4CE4E241"/>
    <w:rsid w:val="4CEAEB25"/>
    <w:rsid w:val="4D012114"/>
    <w:rsid w:val="4D132D21"/>
    <w:rsid w:val="4D43C326"/>
    <w:rsid w:val="4D4EC265"/>
    <w:rsid w:val="4D4FA311"/>
    <w:rsid w:val="4D6918DF"/>
    <w:rsid w:val="4D7B5D89"/>
    <w:rsid w:val="4D80623E"/>
    <w:rsid w:val="4D8BE9EE"/>
    <w:rsid w:val="4D8D03C7"/>
    <w:rsid w:val="4DC78AB3"/>
    <w:rsid w:val="4DDF6203"/>
    <w:rsid w:val="4DE2386E"/>
    <w:rsid w:val="4E067259"/>
    <w:rsid w:val="4E0D3117"/>
    <w:rsid w:val="4E13496E"/>
    <w:rsid w:val="4E25F6E8"/>
    <w:rsid w:val="4E2BAD11"/>
    <w:rsid w:val="4E51FFB3"/>
    <w:rsid w:val="4E69A2C5"/>
    <w:rsid w:val="4E8BFD94"/>
    <w:rsid w:val="4E9FD19D"/>
    <w:rsid w:val="4EA4629E"/>
    <w:rsid w:val="4EAE5B6A"/>
    <w:rsid w:val="4ECB203B"/>
    <w:rsid w:val="4ECF8A56"/>
    <w:rsid w:val="4EDD0CF3"/>
    <w:rsid w:val="4F00BCD9"/>
    <w:rsid w:val="4F2821EE"/>
    <w:rsid w:val="4F44C566"/>
    <w:rsid w:val="4F52C7B5"/>
    <w:rsid w:val="4F56F5FE"/>
    <w:rsid w:val="4F65C77C"/>
    <w:rsid w:val="4F68C009"/>
    <w:rsid w:val="4F7273C9"/>
    <w:rsid w:val="4F730A6E"/>
    <w:rsid w:val="4F810A67"/>
    <w:rsid w:val="4F8F2519"/>
    <w:rsid w:val="4F8F6D3F"/>
    <w:rsid w:val="4FA2DB6E"/>
    <w:rsid w:val="4FAB02A2"/>
    <w:rsid w:val="4FBECBC0"/>
    <w:rsid w:val="4FD06850"/>
    <w:rsid w:val="4FD19B92"/>
    <w:rsid w:val="50349F39"/>
    <w:rsid w:val="5055CD34"/>
    <w:rsid w:val="5057B9B8"/>
    <w:rsid w:val="5065220C"/>
    <w:rsid w:val="5075E01C"/>
    <w:rsid w:val="50869564"/>
    <w:rsid w:val="50EAD2E8"/>
    <w:rsid w:val="50FC5FCC"/>
    <w:rsid w:val="5107B3BE"/>
    <w:rsid w:val="510A6A2B"/>
    <w:rsid w:val="5116D485"/>
    <w:rsid w:val="511C03E0"/>
    <w:rsid w:val="5129B899"/>
    <w:rsid w:val="51367844"/>
    <w:rsid w:val="5152C62F"/>
    <w:rsid w:val="52148614"/>
    <w:rsid w:val="521D2AF9"/>
    <w:rsid w:val="523CA9F2"/>
    <w:rsid w:val="52A9A253"/>
    <w:rsid w:val="52AFE4C1"/>
    <w:rsid w:val="52C711CE"/>
    <w:rsid w:val="52D9BF8F"/>
    <w:rsid w:val="52DD35AB"/>
    <w:rsid w:val="52F04A7C"/>
    <w:rsid w:val="52F8CEB5"/>
    <w:rsid w:val="53626F1C"/>
    <w:rsid w:val="53826C92"/>
    <w:rsid w:val="539B761E"/>
    <w:rsid w:val="53C85885"/>
    <w:rsid w:val="53CBFD2E"/>
    <w:rsid w:val="53D670AB"/>
    <w:rsid w:val="5404ABA9"/>
    <w:rsid w:val="540808CE"/>
    <w:rsid w:val="54302332"/>
    <w:rsid w:val="5432D146"/>
    <w:rsid w:val="547B1770"/>
    <w:rsid w:val="54A37AEA"/>
    <w:rsid w:val="54C6188A"/>
    <w:rsid w:val="54D1BE37"/>
    <w:rsid w:val="54EA558F"/>
    <w:rsid w:val="55652ED2"/>
    <w:rsid w:val="558BF7A6"/>
    <w:rsid w:val="558C88EE"/>
    <w:rsid w:val="55A03A9B"/>
    <w:rsid w:val="55B7603D"/>
    <w:rsid w:val="55BEF1FF"/>
    <w:rsid w:val="55D450B8"/>
    <w:rsid w:val="55D75163"/>
    <w:rsid w:val="55D8C928"/>
    <w:rsid w:val="55E774D3"/>
    <w:rsid w:val="55FB5084"/>
    <w:rsid w:val="56149096"/>
    <w:rsid w:val="561C99A3"/>
    <w:rsid w:val="5622859D"/>
    <w:rsid w:val="56258A6A"/>
    <w:rsid w:val="5633152D"/>
    <w:rsid w:val="5637EA83"/>
    <w:rsid w:val="5643120D"/>
    <w:rsid w:val="565460B2"/>
    <w:rsid w:val="565FF657"/>
    <w:rsid w:val="5676C06D"/>
    <w:rsid w:val="567E4AD0"/>
    <w:rsid w:val="5689808F"/>
    <w:rsid w:val="56A0B41E"/>
    <w:rsid w:val="56B3D587"/>
    <w:rsid w:val="571B21FD"/>
    <w:rsid w:val="5735D104"/>
    <w:rsid w:val="575C5D06"/>
    <w:rsid w:val="575FC259"/>
    <w:rsid w:val="577C72E3"/>
    <w:rsid w:val="57D554E3"/>
    <w:rsid w:val="57D84ACE"/>
    <w:rsid w:val="57E64E9C"/>
    <w:rsid w:val="57FBC841"/>
    <w:rsid w:val="57FED388"/>
    <w:rsid w:val="5811D276"/>
    <w:rsid w:val="581EA97B"/>
    <w:rsid w:val="5822115C"/>
    <w:rsid w:val="5828937C"/>
    <w:rsid w:val="584F5A44"/>
    <w:rsid w:val="58C16D36"/>
    <w:rsid w:val="58D700D3"/>
    <w:rsid w:val="58D999F2"/>
    <w:rsid w:val="592AC04D"/>
    <w:rsid w:val="595DD7A0"/>
    <w:rsid w:val="5962C65C"/>
    <w:rsid w:val="5981588E"/>
    <w:rsid w:val="59A49A5B"/>
    <w:rsid w:val="59BA6594"/>
    <w:rsid w:val="59C4A478"/>
    <w:rsid w:val="59DB8DEA"/>
    <w:rsid w:val="59EB2429"/>
    <w:rsid w:val="59F0BCD6"/>
    <w:rsid w:val="59FD2BC6"/>
    <w:rsid w:val="5A0A0BB5"/>
    <w:rsid w:val="5A201848"/>
    <w:rsid w:val="5A6167E4"/>
    <w:rsid w:val="5A74A05F"/>
    <w:rsid w:val="5A81EC1B"/>
    <w:rsid w:val="5B3BA09E"/>
    <w:rsid w:val="5B5E48CC"/>
    <w:rsid w:val="5B756711"/>
    <w:rsid w:val="5B7B561E"/>
    <w:rsid w:val="5B81F203"/>
    <w:rsid w:val="5B932EE2"/>
    <w:rsid w:val="5B9CF9B0"/>
    <w:rsid w:val="5BB97780"/>
    <w:rsid w:val="5BFA1E2D"/>
    <w:rsid w:val="5C13F038"/>
    <w:rsid w:val="5C211538"/>
    <w:rsid w:val="5C2E92AF"/>
    <w:rsid w:val="5C5C94E7"/>
    <w:rsid w:val="5C6AEFCD"/>
    <w:rsid w:val="5C748D1D"/>
    <w:rsid w:val="5C79B578"/>
    <w:rsid w:val="5CAB3EE2"/>
    <w:rsid w:val="5CCC3E40"/>
    <w:rsid w:val="5CD77BE1"/>
    <w:rsid w:val="5D183D02"/>
    <w:rsid w:val="5D317838"/>
    <w:rsid w:val="5D6889E5"/>
    <w:rsid w:val="5DD5E4F3"/>
    <w:rsid w:val="5DE2BE9D"/>
    <w:rsid w:val="5DF6D19E"/>
    <w:rsid w:val="5DFD7364"/>
    <w:rsid w:val="5E1F66E9"/>
    <w:rsid w:val="5E39CC8A"/>
    <w:rsid w:val="5E3E135C"/>
    <w:rsid w:val="5E61CCDC"/>
    <w:rsid w:val="5E68E387"/>
    <w:rsid w:val="5E7F571B"/>
    <w:rsid w:val="5ECB1E5C"/>
    <w:rsid w:val="5EDAAF5B"/>
    <w:rsid w:val="5EE04536"/>
    <w:rsid w:val="5EF9BFA7"/>
    <w:rsid w:val="5F04530D"/>
    <w:rsid w:val="5F1BD732"/>
    <w:rsid w:val="5F22CDD6"/>
    <w:rsid w:val="5F25B9FC"/>
    <w:rsid w:val="5F466ACC"/>
    <w:rsid w:val="5F760C45"/>
    <w:rsid w:val="5F887777"/>
    <w:rsid w:val="5FD3370B"/>
    <w:rsid w:val="5FE2CC4F"/>
    <w:rsid w:val="600BD386"/>
    <w:rsid w:val="601B4BE9"/>
    <w:rsid w:val="602D5ABC"/>
    <w:rsid w:val="602EFFEA"/>
    <w:rsid w:val="60316ED5"/>
    <w:rsid w:val="60332F8C"/>
    <w:rsid w:val="605AAED3"/>
    <w:rsid w:val="606A0EF9"/>
    <w:rsid w:val="606DB5A4"/>
    <w:rsid w:val="60727E61"/>
    <w:rsid w:val="60854939"/>
    <w:rsid w:val="6098CAFD"/>
    <w:rsid w:val="609CB82C"/>
    <w:rsid w:val="609E7B5F"/>
    <w:rsid w:val="60A1B1CE"/>
    <w:rsid w:val="60C9932D"/>
    <w:rsid w:val="60CBD1EF"/>
    <w:rsid w:val="612FC349"/>
    <w:rsid w:val="613D71A1"/>
    <w:rsid w:val="614358DA"/>
    <w:rsid w:val="6147AC92"/>
    <w:rsid w:val="616070EE"/>
    <w:rsid w:val="61649297"/>
    <w:rsid w:val="61B82560"/>
    <w:rsid w:val="61E87506"/>
    <w:rsid w:val="61F808E7"/>
    <w:rsid w:val="6206225E"/>
    <w:rsid w:val="624F3274"/>
    <w:rsid w:val="625B5073"/>
    <w:rsid w:val="6282C6CB"/>
    <w:rsid w:val="6286FC78"/>
    <w:rsid w:val="628D699F"/>
    <w:rsid w:val="62AF55E1"/>
    <w:rsid w:val="62B98528"/>
    <w:rsid w:val="62BE87A0"/>
    <w:rsid w:val="62D14047"/>
    <w:rsid w:val="62D4EA69"/>
    <w:rsid w:val="62E7B89A"/>
    <w:rsid w:val="630ABCA2"/>
    <w:rsid w:val="63103312"/>
    <w:rsid w:val="632C2673"/>
    <w:rsid w:val="6349BABD"/>
    <w:rsid w:val="6351A184"/>
    <w:rsid w:val="635BF187"/>
    <w:rsid w:val="635DA559"/>
    <w:rsid w:val="636142E6"/>
    <w:rsid w:val="6363A616"/>
    <w:rsid w:val="636467F0"/>
    <w:rsid w:val="6367C623"/>
    <w:rsid w:val="638B285F"/>
    <w:rsid w:val="63B51355"/>
    <w:rsid w:val="63C8CB7D"/>
    <w:rsid w:val="63CB3352"/>
    <w:rsid w:val="63D711BE"/>
    <w:rsid w:val="63ECC3D9"/>
    <w:rsid w:val="63F2C80C"/>
    <w:rsid w:val="642F8769"/>
    <w:rsid w:val="64320CEF"/>
    <w:rsid w:val="644951DD"/>
    <w:rsid w:val="64604EE8"/>
    <w:rsid w:val="64673A01"/>
    <w:rsid w:val="64A5A103"/>
    <w:rsid w:val="64C3E729"/>
    <w:rsid w:val="64C57642"/>
    <w:rsid w:val="64CF178E"/>
    <w:rsid w:val="64D8F127"/>
    <w:rsid w:val="64E91314"/>
    <w:rsid w:val="64F87324"/>
    <w:rsid w:val="65770467"/>
    <w:rsid w:val="6597F2F7"/>
    <w:rsid w:val="6598B4E4"/>
    <w:rsid w:val="65A353AA"/>
    <w:rsid w:val="65B334B1"/>
    <w:rsid w:val="65DE63E4"/>
    <w:rsid w:val="660AD79B"/>
    <w:rsid w:val="660B31FE"/>
    <w:rsid w:val="660ED724"/>
    <w:rsid w:val="66186BED"/>
    <w:rsid w:val="66237613"/>
    <w:rsid w:val="663DE4FC"/>
    <w:rsid w:val="666E7A02"/>
    <w:rsid w:val="66835A71"/>
    <w:rsid w:val="66A1F2E1"/>
    <w:rsid w:val="66A4F2E7"/>
    <w:rsid w:val="66C5E9DB"/>
    <w:rsid w:val="66D1C2A8"/>
    <w:rsid w:val="66D85C09"/>
    <w:rsid w:val="66EF4FCC"/>
    <w:rsid w:val="66F94AE3"/>
    <w:rsid w:val="6714B524"/>
    <w:rsid w:val="67476C6F"/>
    <w:rsid w:val="67EE68D0"/>
    <w:rsid w:val="6828E7C8"/>
    <w:rsid w:val="6833F605"/>
    <w:rsid w:val="684EB5E0"/>
    <w:rsid w:val="685E38A0"/>
    <w:rsid w:val="688ACA5D"/>
    <w:rsid w:val="68910A75"/>
    <w:rsid w:val="68A61026"/>
    <w:rsid w:val="68B3F065"/>
    <w:rsid w:val="68BB7F5F"/>
    <w:rsid w:val="68C32850"/>
    <w:rsid w:val="68C7B70C"/>
    <w:rsid w:val="68E6A39B"/>
    <w:rsid w:val="690F9451"/>
    <w:rsid w:val="69124748"/>
    <w:rsid w:val="692A85DF"/>
    <w:rsid w:val="693775F6"/>
    <w:rsid w:val="69522109"/>
    <w:rsid w:val="6962A565"/>
    <w:rsid w:val="69A1F7A4"/>
    <w:rsid w:val="69BBC7ED"/>
    <w:rsid w:val="69ECD96B"/>
    <w:rsid w:val="69F30735"/>
    <w:rsid w:val="69FF258B"/>
    <w:rsid w:val="6A1B5D69"/>
    <w:rsid w:val="6A5E108E"/>
    <w:rsid w:val="6A748497"/>
    <w:rsid w:val="6A77333A"/>
    <w:rsid w:val="6A93303B"/>
    <w:rsid w:val="6AC14ABC"/>
    <w:rsid w:val="6AF52114"/>
    <w:rsid w:val="6B180B83"/>
    <w:rsid w:val="6B417ECC"/>
    <w:rsid w:val="6B469C41"/>
    <w:rsid w:val="6B656D99"/>
    <w:rsid w:val="6B713A26"/>
    <w:rsid w:val="6B9CCEB1"/>
    <w:rsid w:val="6B9FD631"/>
    <w:rsid w:val="6BB0629D"/>
    <w:rsid w:val="6BB0AD1F"/>
    <w:rsid w:val="6BD9E9A1"/>
    <w:rsid w:val="6BE614E3"/>
    <w:rsid w:val="6BEBD019"/>
    <w:rsid w:val="6BEE39F3"/>
    <w:rsid w:val="6C34F302"/>
    <w:rsid w:val="6C3BA4EA"/>
    <w:rsid w:val="6C3EA30C"/>
    <w:rsid w:val="6C51EF65"/>
    <w:rsid w:val="6C99E74F"/>
    <w:rsid w:val="6CABBD0F"/>
    <w:rsid w:val="6CB50F79"/>
    <w:rsid w:val="6CCD1AFC"/>
    <w:rsid w:val="6CDA1C61"/>
    <w:rsid w:val="6D66187C"/>
    <w:rsid w:val="6D69C499"/>
    <w:rsid w:val="6D6F5527"/>
    <w:rsid w:val="6DC447ED"/>
    <w:rsid w:val="6DC9DBFE"/>
    <w:rsid w:val="6DE54E0C"/>
    <w:rsid w:val="6DE716FC"/>
    <w:rsid w:val="6DF8EA45"/>
    <w:rsid w:val="6DFD303A"/>
    <w:rsid w:val="6DFF334D"/>
    <w:rsid w:val="6E06D121"/>
    <w:rsid w:val="6E129FCC"/>
    <w:rsid w:val="6E131C8D"/>
    <w:rsid w:val="6E16B31E"/>
    <w:rsid w:val="6E2C1E2E"/>
    <w:rsid w:val="6E2C54DD"/>
    <w:rsid w:val="6E4DEAA8"/>
    <w:rsid w:val="6E65EB98"/>
    <w:rsid w:val="6E671A35"/>
    <w:rsid w:val="6E6B7A12"/>
    <w:rsid w:val="6E876A3C"/>
    <w:rsid w:val="6E9CBBA3"/>
    <w:rsid w:val="6EA5EAD6"/>
    <w:rsid w:val="6EB4A5D0"/>
    <w:rsid w:val="6EC8AD45"/>
    <w:rsid w:val="6EDD9008"/>
    <w:rsid w:val="6F1A0F4B"/>
    <w:rsid w:val="6F1AA8E6"/>
    <w:rsid w:val="6F2ABFFA"/>
    <w:rsid w:val="6F4DBB22"/>
    <w:rsid w:val="6F866344"/>
    <w:rsid w:val="6FD2E9C0"/>
    <w:rsid w:val="6FDA1DB5"/>
    <w:rsid w:val="702A705F"/>
    <w:rsid w:val="70391405"/>
    <w:rsid w:val="70A5DB90"/>
    <w:rsid w:val="70EA09DA"/>
    <w:rsid w:val="7101E444"/>
    <w:rsid w:val="712BD439"/>
    <w:rsid w:val="71359864"/>
    <w:rsid w:val="713D6C5C"/>
    <w:rsid w:val="713DFDCD"/>
    <w:rsid w:val="713F7F7D"/>
    <w:rsid w:val="7145E82A"/>
    <w:rsid w:val="715E0B73"/>
    <w:rsid w:val="71B18E4E"/>
    <w:rsid w:val="71B8C0E6"/>
    <w:rsid w:val="71BF64B3"/>
    <w:rsid w:val="71EC592E"/>
    <w:rsid w:val="71F53EE0"/>
    <w:rsid w:val="721D5E46"/>
    <w:rsid w:val="72216399"/>
    <w:rsid w:val="72639F22"/>
    <w:rsid w:val="7280055D"/>
    <w:rsid w:val="7283585C"/>
    <w:rsid w:val="72845439"/>
    <w:rsid w:val="729D8A6D"/>
    <w:rsid w:val="72AB5EA3"/>
    <w:rsid w:val="7319E0FF"/>
    <w:rsid w:val="73206FFF"/>
    <w:rsid w:val="73251073"/>
    <w:rsid w:val="732B421B"/>
    <w:rsid w:val="732F3621"/>
    <w:rsid w:val="73334A5A"/>
    <w:rsid w:val="736358EE"/>
    <w:rsid w:val="73AB475B"/>
    <w:rsid w:val="73C77CD2"/>
    <w:rsid w:val="73CDD05C"/>
    <w:rsid w:val="74135480"/>
    <w:rsid w:val="742D447D"/>
    <w:rsid w:val="743DEF6E"/>
    <w:rsid w:val="744BA59A"/>
    <w:rsid w:val="746453EC"/>
    <w:rsid w:val="746DDD3F"/>
    <w:rsid w:val="749636AA"/>
    <w:rsid w:val="749F0F8A"/>
    <w:rsid w:val="74B526EA"/>
    <w:rsid w:val="74CF2351"/>
    <w:rsid w:val="74D0CD48"/>
    <w:rsid w:val="750BF7DF"/>
    <w:rsid w:val="7511F666"/>
    <w:rsid w:val="752C2156"/>
    <w:rsid w:val="752CDF76"/>
    <w:rsid w:val="752F11E5"/>
    <w:rsid w:val="75482560"/>
    <w:rsid w:val="754E3F8D"/>
    <w:rsid w:val="7552F0FB"/>
    <w:rsid w:val="7576C75D"/>
    <w:rsid w:val="757A3015"/>
    <w:rsid w:val="757B2B15"/>
    <w:rsid w:val="7592A0AB"/>
    <w:rsid w:val="759A7C4B"/>
    <w:rsid w:val="759ABC14"/>
    <w:rsid w:val="75C2AD9B"/>
    <w:rsid w:val="75D8AB89"/>
    <w:rsid w:val="75F06CFF"/>
    <w:rsid w:val="75FCD7DD"/>
    <w:rsid w:val="7601A9C5"/>
    <w:rsid w:val="7619CC0B"/>
    <w:rsid w:val="764815C4"/>
    <w:rsid w:val="766D8403"/>
    <w:rsid w:val="768DE7BB"/>
    <w:rsid w:val="76987470"/>
    <w:rsid w:val="76F80E9E"/>
    <w:rsid w:val="76F9A80F"/>
    <w:rsid w:val="771F4655"/>
    <w:rsid w:val="773755A5"/>
    <w:rsid w:val="7739632B"/>
    <w:rsid w:val="7741BC62"/>
    <w:rsid w:val="774790A3"/>
    <w:rsid w:val="775FA5B1"/>
    <w:rsid w:val="777C5EED"/>
    <w:rsid w:val="77B806AF"/>
    <w:rsid w:val="77DFD15B"/>
    <w:rsid w:val="77E00899"/>
    <w:rsid w:val="77F68276"/>
    <w:rsid w:val="780C88D0"/>
    <w:rsid w:val="7829CACA"/>
    <w:rsid w:val="7849BC6A"/>
    <w:rsid w:val="7858665E"/>
    <w:rsid w:val="785E0579"/>
    <w:rsid w:val="78631925"/>
    <w:rsid w:val="786817DD"/>
    <w:rsid w:val="78C47C69"/>
    <w:rsid w:val="78CF0C12"/>
    <w:rsid w:val="78EA7B84"/>
    <w:rsid w:val="78EB7B6B"/>
    <w:rsid w:val="78ED6D4C"/>
    <w:rsid w:val="79081D99"/>
    <w:rsid w:val="790887C2"/>
    <w:rsid w:val="790AF10A"/>
    <w:rsid w:val="790FC6FF"/>
    <w:rsid w:val="791528A1"/>
    <w:rsid w:val="79370C85"/>
    <w:rsid w:val="796BED5E"/>
    <w:rsid w:val="796EAD46"/>
    <w:rsid w:val="797BAA84"/>
    <w:rsid w:val="79812EA2"/>
    <w:rsid w:val="7981547D"/>
    <w:rsid w:val="7986D056"/>
    <w:rsid w:val="79B3BC43"/>
    <w:rsid w:val="79B73EC7"/>
    <w:rsid w:val="79BF3FC7"/>
    <w:rsid w:val="79C560C7"/>
    <w:rsid w:val="79D6159E"/>
    <w:rsid w:val="79D769FD"/>
    <w:rsid w:val="79DB6988"/>
    <w:rsid w:val="7A015ED4"/>
    <w:rsid w:val="7A091516"/>
    <w:rsid w:val="7A1F5D5B"/>
    <w:rsid w:val="7A213379"/>
    <w:rsid w:val="7A481E08"/>
    <w:rsid w:val="7A499820"/>
    <w:rsid w:val="7A54ED5E"/>
    <w:rsid w:val="7ABD6609"/>
    <w:rsid w:val="7AC25CDA"/>
    <w:rsid w:val="7AC7389B"/>
    <w:rsid w:val="7AEFE15F"/>
    <w:rsid w:val="7AF0664F"/>
    <w:rsid w:val="7AF57CED"/>
    <w:rsid w:val="7AFBEA70"/>
    <w:rsid w:val="7B0ACBDE"/>
    <w:rsid w:val="7B321226"/>
    <w:rsid w:val="7B4424CB"/>
    <w:rsid w:val="7B49F6C7"/>
    <w:rsid w:val="7B6A44C6"/>
    <w:rsid w:val="7B8FF446"/>
    <w:rsid w:val="7B9467C5"/>
    <w:rsid w:val="7B987D95"/>
    <w:rsid w:val="7BAAC11D"/>
    <w:rsid w:val="7BB9B634"/>
    <w:rsid w:val="7BBF25B9"/>
    <w:rsid w:val="7BC39DA0"/>
    <w:rsid w:val="7BCC224E"/>
    <w:rsid w:val="7BE4D427"/>
    <w:rsid w:val="7C117157"/>
    <w:rsid w:val="7C2A1C98"/>
    <w:rsid w:val="7C8C3ED4"/>
    <w:rsid w:val="7C8C8DE4"/>
    <w:rsid w:val="7C9C4D41"/>
    <w:rsid w:val="7CB1F2C7"/>
    <w:rsid w:val="7CC018F1"/>
    <w:rsid w:val="7CCE6AEF"/>
    <w:rsid w:val="7D07FE32"/>
    <w:rsid w:val="7D210A98"/>
    <w:rsid w:val="7D27C646"/>
    <w:rsid w:val="7D2C2DAB"/>
    <w:rsid w:val="7D39C131"/>
    <w:rsid w:val="7D39D093"/>
    <w:rsid w:val="7D5ABADC"/>
    <w:rsid w:val="7D7BD550"/>
    <w:rsid w:val="7D8BC389"/>
    <w:rsid w:val="7DF4AFA2"/>
    <w:rsid w:val="7DF7F24F"/>
    <w:rsid w:val="7E163C37"/>
    <w:rsid w:val="7E2479BF"/>
    <w:rsid w:val="7E61061F"/>
    <w:rsid w:val="7E7ACF8F"/>
    <w:rsid w:val="7E7E74CF"/>
    <w:rsid w:val="7E904B5F"/>
    <w:rsid w:val="7E94D558"/>
    <w:rsid w:val="7E99142B"/>
    <w:rsid w:val="7EAFEE9D"/>
    <w:rsid w:val="7EC03A48"/>
    <w:rsid w:val="7EF02518"/>
    <w:rsid w:val="7EF4F858"/>
    <w:rsid w:val="7F1F7860"/>
    <w:rsid w:val="7F2CEF41"/>
    <w:rsid w:val="7F2F8BCE"/>
    <w:rsid w:val="7F343AB0"/>
    <w:rsid w:val="7F3DA037"/>
    <w:rsid w:val="7F428030"/>
    <w:rsid w:val="7F6DBAC4"/>
    <w:rsid w:val="7F7592D1"/>
    <w:rsid w:val="7F7B30C4"/>
    <w:rsid w:val="7F7C9998"/>
    <w:rsid w:val="7FAA1C58"/>
    <w:rsid w:val="7FB20A0F"/>
    <w:rsid w:val="7FC8EE4B"/>
    <w:rsid w:val="7FDC29B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C73E1"/>
  <w15:chartTrackingRefBased/>
  <w15:docId w15:val="{2F3F3F58-8BBE-4502-9B05-E4CFB42A0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8"/>
    <w:pPr>
      <w:spacing w:after="0" w:line="240" w:lineRule="auto"/>
    </w:pPr>
    <w:rPr>
      <w:rFonts w:ascii="Arial" w:eastAsia="Arial" w:hAnsi="Arial" w:cs="Arial"/>
      <w:color w:val="222222"/>
      <w:kern w:val="0"/>
      <w:sz w:val="21"/>
      <w:szCs w:val="21"/>
      <w:lang w:eastAsia="de-DE"/>
      <w14:ligatures w14:val="none"/>
    </w:rPr>
  </w:style>
  <w:style w:type="paragraph" w:styleId="Heading1">
    <w:name w:val="heading 1"/>
    <w:basedOn w:val="Normal"/>
    <w:next w:val="Normal"/>
    <w:link w:val="Heading1Char"/>
    <w:uiPriority w:val="9"/>
    <w:qFormat/>
    <w:rsid w:val="0008243A"/>
    <w:pPr>
      <w:keepNext/>
      <w:keepLines/>
      <w:numPr>
        <w:numId w:val="5"/>
      </w:numPr>
      <w:suppressAutoHyphens/>
      <w:spacing w:line="360" w:lineRule="exact"/>
      <w:contextualSpacing/>
      <w:outlineLvl w:val="0"/>
    </w:pPr>
    <w:rPr>
      <w:rFonts w:asciiTheme="majorHAnsi" w:eastAsiaTheme="majorEastAsia" w:hAnsiTheme="majorHAnsi" w:cstheme="majorBidi"/>
      <w:b/>
      <w:bCs/>
      <w:noProof/>
      <w:color w:val="1E2A78" w:themeColor="accent1"/>
      <w:sz w:val="32"/>
      <w:szCs w:val="32"/>
    </w:rPr>
  </w:style>
  <w:style w:type="paragraph" w:styleId="Heading2">
    <w:name w:val="heading 2"/>
    <w:basedOn w:val="Heading1"/>
    <w:next w:val="Normal"/>
    <w:link w:val="Heading2Char"/>
    <w:uiPriority w:val="9"/>
    <w:unhideWhenUsed/>
    <w:qFormat/>
    <w:rsid w:val="0008243A"/>
    <w:pPr>
      <w:numPr>
        <w:ilvl w:val="1"/>
      </w:numPr>
      <w:spacing w:line="280" w:lineRule="exact"/>
      <w:outlineLvl w:val="1"/>
    </w:pPr>
    <w:rPr>
      <w:sz w:val="24"/>
    </w:rPr>
  </w:style>
  <w:style w:type="paragraph" w:styleId="Heading3">
    <w:name w:val="heading 3"/>
    <w:basedOn w:val="Heading2"/>
    <w:next w:val="Normal"/>
    <w:link w:val="Heading3Char"/>
    <w:unhideWhenUsed/>
    <w:qFormat/>
    <w:rsid w:val="0008243A"/>
    <w:pPr>
      <w:numPr>
        <w:ilvl w:val="2"/>
      </w:numPr>
      <w:spacing w:line="240" w:lineRule="auto"/>
      <w:outlineLvl w:val="2"/>
    </w:pPr>
    <w:rPr>
      <w:color w:val="000000" w:themeColor="text1"/>
      <w:sz w:val="20"/>
      <w:szCs w:val="20"/>
    </w:rPr>
  </w:style>
  <w:style w:type="paragraph" w:styleId="Heading4">
    <w:name w:val="heading 4"/>
    <w:basedOn w:val="Normal"/>
    <w:next w:val="Normal"/>
    <w:link w:val="Heading4Char"/>
    <w:uiPriority w:val="9"/>
    <w:semiHidden/>
    <w:unhideWhenUsed/>
    <w:qFormat/>
    <w:rsid w:val="0008243A"/>
    <w:pPr>
      <w:keepNext/>
      <w:keepLines/>
      <w:numPr>
        <w:ilvl w:val="3"/>
        <w:numId w:val="5"/>
      </w:numPr>
      <w:spacing w:before="80" w:after="40"/>
      <w:outlineLvl w:val="3"/>
    </w:pPr>
    <w:rPr>
      <w:rFonts w:eastAsiaTheme="majorEastAsia" w:cstheme="majorBidi"/>
      <w:i/>
      <w:iCs/>
      <w:color w:val="161F59" w:themeColor="accent1" w:themeShade="BF"/>
    </w:rPr>
  </w:style>
  <w:style w:type="paragraph" w:styleId="Heading5">
    <w:name w:val="heading 5"/>
    <w:basedOn w:val="Normal"/>
    <w:next w:val="Normal"/>
    <w:link w:val="Heading5Char"/>
    <w:uiPriority w:val="9"/>
    <w:semiHidden/>
    <w:unhideWhenUsed/>
    <w:qFormat/>
    <w:rsid w:val="0008243A"/>
    <w:pPr>
      <w:keepNext/>
      <w:keepLines/>
      <w:numPr>
        <w:ilvl w:val="4"/>
        <w:numId w:val="5"/>
      </w:numPr>
      <w:spacing w:before="80" w:after="40"/>
      <w:outlineLvl w:val="4"/>
    </w:pPr>
    <w:rPr>
      <w:rFonts w:eastAsiaTheme="majorEastAsia" w:cstheme="majorBidi"/>
      <w:color w:val="161F59" w:themeColor="accent1" w:themeShade="BF"/>
    </w:rPr>
  </w:style>
  <w:style w:type="paragraph" w:styleId="Heading6">
    <w:name w:val="heading 6"/>
    <w:basedOn w:val="Normal"/>
    <w:next w:val="Normal"/>
    <w:link w:val="Heading6Char"/>
    <w:uiPriority w:val="9"/>
    <w:semiHidden/>
    <w:unhideWhenUsed/>
    <w:qFormat/>
    <w:rsid w:val="0008243A"/>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243A"/>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243A"/>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243A"/>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243A"/>
    <w:rPr>
      <w:rFonts w:asciiTheme="majorHAnsi" w:eastAsiaTheme="majorEastAsia" w:hAnsiTheme="majorHAnsi" w:cstheme="majorBidi"/>
      <w:b/>
      <w:bCs/>
      <w:noProof/>
      <w:color w:val="1E2A78" w:themeColor="accent1"/>
      <w:kern w:val="0"/>
      <w:sz w:val="32"/>
      <w:szCs w:val="32"/>
      <w:lang w:eastAsia="de-DE"/>
      <w14:ligatures w14:val="none"/>
    </w:rPr>
  </w:style>
  <w:style w:type="character" w:customStyle="1" w:styleId="Heading2Char">
    <w:name w:val="Heading 2 Char"/>
    <w:basedOn w:val="DefaultParagraphFont"/>
    <w:link w:val="Heading2"/>
    <w:uiPriority w:val="9"/>
    <w:rsid w:val="0008243A"/>
    <w:rPr>
      <w:rFonts w:asciiTheme="majorHAnsi" w:eastAsiaTheme="majorEastAsia" w:hAnsiTheme="majorHAnsi" w:cstheme="majorBidi"/>
      <w:b/>
      <w:bCs/>
      <w:noProof/>
      <w:color w:val="1E2A78" w:themeColor="accent1"/>
      <w:kern w:val="0"/>
      <w:szCs w:val="32"/>
      <w:lang w:eastAsia="de-DE"/>
      <w14:ligatures w14:val="none"/>
    </w:rPr>
  </w:style>
  <w:style w:type="character" w:customStyle="1" w:styleId="Heading3Char">
    <w:name w:val="Heading 3 Char"/>
    <w:basedOn w:val="DefaultParagraphFont"/>
    <w:link w:val="Heading3"/>
    <w:rsid w:val="0008243A"/>
    <w:rPr>
      <w:rFonts w:asciiTheme="majorHAnsi" w:eastAsiaTheme="majorEastAsia" w:hAnsiTheme="majorHAnsi" w:cstheme="majorBidi"/>
      <w:b/>
      <w:bCs/>
      <w:noProof/>
      <w:color w:val="000000" w:themeColor="text1"/>
      <w:kern w:val="0"/>
      <w:sz w:val="20"/>
      <w:szCs w:val="20"/>
      <w:lang w:eastAsia="de-DE"/>
      <w14:ligatures w14:val="none"/>
    </w:rPr>
  </w:style>
  <w:style w:type="character" w:customStyle="1" w:styleId="Heading4Char">
    <w:name w:val="Heading 4 Char"/>
    <w:basedOn w:val="DefaultParagraphFont"/>
    <w:link w:val="Heading4"/>
    <w:uiPriority w:val="9"/>
    <w:semiHidden/>
    <w:rsid w:val="0008243A"/>
    <w:rPr>
      <w:rFonts w:eastAsiaTheme="majorEastAsia" w:cstheme="majorBidi"/>
      <w:i/>
      <w:iCs/>
      <w:color w:val="161F59" w:themeColor="accent1" w:themeShade="BF"/>
    </w:rPr>
  </w:style>
  <w:style w:type="character" w:customStyle="1" w:styleId="Heading5Char">
    <w:name w:val="Heading 5 Char"/>
    <w:basedOn w:val="DefaultParagraphFont"/>
    <w:link w:val="Heading5"/>
    <w:uiPriority w:val="9"/>
    <w:semiHidden/>
    <w:rsid w:val="0008243A"/>
    <w:rPr>
      <w:rFonts w:eastAsiaTheme="majorEastAsia" w:cstheme="majorBidi"/>
      <w:color w:val="161F59" w:themeColor="accent1" w:themeShade="BF"/>
    </w:rPr>
  </w:style>
  <w:style w:type="character" w:customStyle="1" w:styleId="Heading6Char">
    <w:name w:val="Heading 6 Char"/>
    <w:basedOn w:val="DefaultParagraphFont"/>
    <w:link w:val="Heading6"/>
    <w:uiPriority w:val="9"/>
    <w:semiHidden/>
    <w:rsid w:val="000824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24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24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243A"/>
    <w:rPr>
      <w:rFonts w:eastAsiaTheme="majorEastAsia" w:cstheme="majorBidi"/>
      <w:color w:val="272727" w:themeColor="text1" w:themeTint="D8"/>
    </w:rPr>
  </w:style>
  <w:style w:type="paragraph" w:customStyle="1" w:styleId="Auflistung1">
    <w:name w:val="Auflistung 1"/>
    <w:basedOn w:val="Normal"/>
    <w:qFormat/>
    <w:rsid w:val="001042BE"/>
    <w:pPr>
      <w:numPr>
        <w:numId w:val="1"/>
      </w:numPr>
    </w:pPr>
  </w:style>
  <w:style w:type="paragraph" w:styleId="Title">
    <w:name w:val="Title"/>
    <w:basedOn w:val="Normal"/>
    <w:next w:val="Normal"/>
    <w:link w:val="TitleChar"/>
    <w:uiPriority w:val="10"/>
    <w:qFormat/>
    <w:rsid w:val="00B065CB"/>
    <w:pPr>
      <w:spacing w:line="480" w:lineRule="exact"/>
      <w:contextualSpacing/>
    </w:pPr>
    <w:rPr>
      <w:rFonts w:asciiTheme="majorHAnsi" w:eastAsiaTheme="majorEastAsia" w:hAnsiTheme="majorHAnsi" w:cstheme="majorBidi"/>
      <w:b/>
      <w:color w:val="1E2A78" w:themeColor="accent1"/>
      <w:spacing w:val="-10"/>
      <w:kern w:val="28"/>
      <w:sz w:val="48"/>
      <w:szCs w:val="56"/>
    </w:rPr>
  </w:style>
  <w:style w:type="character" w:customStyle="1" w:styleId="TitleChar">
    <w:name w:val="Title Char"/>
    <w:basedOn w:val="DefaultParagraphFont"/>
    <w:link w:val="Title"/>
    <w:uiPriority w:val="10"/>
    <w:rsid w:val="00B065CB"/>
    <w:rPr>
      <w:rFonts w:asciiTheme="majorHAnsi" w:eastAsiaTheme="majorEastAsia" w:hAnsiTheme="majorHAnsi" w:cstheme="majorBidi"/>
      <w:b/>
      <w:color w:val="1E2A78" w:themeColor="accent1"/>
      <w:spacing w:val="-10"/>
      <w:kern w:val="28"/>
      <w:sz w:val="48"/>
      <w:szCs w:val="56"/>
      <w:lang w:eastAsia="de-DE"/>
      <w14:ligatures w14:val="none"/>
    </w:rPr>
  </w:style>
  <w:style w:type="paragraph" w:styleId="Subtitle">
    <w:name w:val="Subtitle"/>
    <w:basedOn w:val="Normal"/>
    <w:next w:val="Normal"/>
    <w:link w:val="SubtitleChar"/>
    <w:uiPriority w:val="11"/>
    <w:qFormat/>
    <w:rsid w:val="00B065CB"/>
    <w:pPr>
      <w:numPr>
        <w:ilvl w:val="1"/>
      </w:numPr>
      <w:spacing w:after="160"/>
    </w:pPr>
    <w:rPr>
      <w:rFonts w:asciiTheme="minorHAnsi" w:eastAsiaTheme="majorEastAsia" w:hAnsiTheme="minorHAnsi" w:cstheme="majorBidi"/>
      <w:color w:val="1E2A78" w:themeColor="accent1"/>
      <w:sz w:val="28"/>
      <w:szCs w:val="28"/>
    </w:rPr>
  </w:style>
  <w:style w:type="character" w:customStyle="1" w:styleId="SubtitleChar">
    <w:name w:val="Subtitle Char"/>
    <w:basedOn w:val="DefaultParagraphFont"/>
    <w:link w:val="Subtitle"/>
    <w:uiPriority w:val="11"/>
    <w:rsid w:val="00B065CB"/>
    <w:rPr>
      <w:rFonts w:eastAsiaTheme="majorEastAsia" w:cstheme="majorBidi"/>
      <w:color w:val="1E2A78" w:themeColor="accent1"/>
      <w:kern w:val="0"/>
      <w:sz w:val="28"/>
      <w:szCs w:val="28"/>
      <w:lang w:eastAsia="de-DE"/>
      <w14:ligatures w14:val="none"/>
    </w:rPr>
  </w:style>
  <w:style w:type="paragraph" w:styleId="Quote">
    <w:name w:val="Quote"/>
    <w:basedOn w:val="Normal"/>
    <w:next w:val="Normal"/>
    <w:link w:val="QuoteChar"/>
    <w:uiPriority w:val="29"/>
    <w:rsid w:val="00B065CB"/>
    <w:pPr>
      <w:spacing w:before="160"/>
    </w:pPr>
    <w:rPr>
      <w:i/>
      <w:iCs/>
      <w:color w:val="1E2A78" w:themeColor="accent1"/>
    </w:rPr>
  </w:style>
  <w:style w:type="character" w:customStyle="1" w:styleId="QuoteChar">
    <w:name w:val="Quote Char"/>
    <w:basedOn w:val="DefaultParagraphFont"/>
    <w:link w:val="Quote"/>
    <w:uiPriority w:val="29"/>
    <w:rsid w:val="00B065CB"/>
    <w:rPr>
      <w:rFonts w:ascii="DeutscheBank" w:eastAsia="Times New Roman" w:hAnsi="DeutscheBank" w:cs="Times New Roman"/>
      <w:i/>
      <w:iCs/>
      <w:color w:val="1E2A78" w:themeColor="accent1"/>
      <w:kern w:val="0"/>
      <w:sz w:val="20"/>
      <w:szCs w:val="20"/>
      <w:lang w:eastAsia="de-DE"/>
      <w14:ligatures w14:val="none"/>
    </w:rPr>
  </w:style>
  <w:style w:type="character" w:styleId="SubtleReference">
    <w:name w:val="Subtle Reference"/>
    <w:basedOn w:val="DefaultParagraphFont"/>
    <w:uiPriority w:val="31"/>
    <w:rsid w:val="00B065CB"/>
    <w:rPr>
      <w:caps w:val="0"/>
      <w:smallCaps w:val="0"/>
      <w:color w:val="5A5A5A" w:themeColor="text1" w:themeTint="A5"/>
    </w:rPr>
  </w:style>
  <w:style w:type="character" w:styleId="IntenseReference">
    <w:name w:val="Intense Reference"/>
    <w:basedOn w:val="DefaultParagraphFont"/>
    <w:uiPriority w:val="32"/>
    <w:rsid w:val="00B065CB"/>
    <w:rPr>
      <w:b/>
      <w:bCs/>
      <w:caps w:val="0"/>
      <w:smallCaps w:val="0"/>
      <w:color w:val="161F59" w:themeColor="accent1" w:themeShade="BF"/>
      <w:spacing w:val="5"/>
    </w:rPr>
  </w:style>
  <w:style w:type="paragraph" w:customStyle="1" w:styleId="Auflistung2">
    <w:name w:val="Auflistung 2"/>
    <w:basedOn w:val="Auflistung1"/>
    <w:qFormat/>
    <w:rsid w:val="00720B5B"/>
    <w:pPr>
      <w:ind w:left="567"/>
    </w:pPr>
  </w:style>
  <w:style w:type="character" w:styleId="Strong">
    <w:name w:val="Strong"/>
    <w:basedOn w:val="DefaultParagraphFont"/>
    <w:uiPriority w:val="22"/>
    <w:qFormat/>
    <w:rsid w:val="00B065CB"/>
    <w:rPr>
      <w:b/>
      <w:bCs/>
    </w:rPr>
  </w:style>
  <w:style w:type="paragraph" w:customStyle="1" w:styleId="Auflistung3">
    <w:name w:val="Auflistung 3"/>
    <w:basedOn w:val="Auflistung2"/>
    <w:qFormat/>
    <w:rsid w:val="00720B5B"/>
    <w:pPr>
      <w:ind w:left="851"/>
    </w:pPr>
    <w:rPr>
      <w:sz w:val="16"/>
      <w:szCs w:val="16"/>
    </w:rPr>
  </w:style>
  <w:style w:type="character" w:customStyle="1" w:styleId="DeepBlue">
    <w:name w:val="Deep Blue"/>
    <w:basedOn w:val="DefaultParagraphFont"/>
    <w:uiPriority w:val="1"/>
    <w:qFormat/>
    <w:rsid w:val="00720B5B"/>
    <w:rPr>
      <w:color w:val="1E2A78" w:themeColor="accent1"/>
    </w:rPr>
  </w:style>
  <w:style w:type="paragraph" w:styleId="Footer">
    <w:name w:val="footer"/>
    <w:basedOn w:val="Normal"/>
    <w:link w:val="FooterChar"/>
    <w:unhideWhenUsed/>
    <w:rsid w:val="00612964"/>
    <w:pPr>
      <w:tabs>
        <w:tab w:val="center" w:pos="4513"/>
        <w:tab w:val="right" w:pos="9921"/>
      </w:tabs>
    </w:pPr>
    <w:rPr>
      <w:sz w:val="12"/>
      <w:szCs w:val="12"/>
    </w:rPr>
  </w:style>
  <w:style w:type="character" w:customStyle="1" w:styleId="FooterChar">
    <w:name w:val="Footer Char"/>
    <w:basedOn w:val="DefaultParagraphFont"/>
    <w:link w:val="Footer"/>
    <w:rsid w:val="00612964"/>
    <w:rPr>
      <w:rFonts w:ascii="DeutscheBank" w:eastAsia="Times New Roman" w:hAnsi="DeutscheBank" w:cs="Times New Roman"/>
      <w:kern w:val="0"/>
      <w:sz w:val="12"/>
      <w:szCs w:val="12"/>
      <w:lang w:eastAsia="de-DE"/>
      <w14:ligatures w14:val="none"/>
    </w:rPr>
  </w:style>
  <w:style w:type="paragraph" w:customStyle="1" w:styleId="Identifier">
    <w:name w:val="Identifier"/>
    <w:basedOn w:val="Wortmarke"/>
    <w:rsid w:val="00612964"/>
    <w:rPr>
      <w:rFonts w:asciiTheme="majorHAnsi" w:hAnsiTheme="majorHAnsi"/>
      <w:b w:val="0"/>
      <w:noProof/>
    </w:rPr>
  </w:style>
  <w:style w:type="paragraph" w:customStyle="1" w:styleId="Wortmarke">
    <w:name w:val="Wortmarke"/>
    <w:basedOn w:val="Normal"/>
    <w:next w:val="Identifier"/>
    <w:rsid w:val="00612964"/>
    <w:pPr>
      <w:spacing w:line="240" w:lineRule="exact"/>
    </w:pPr>
    <w:rPr>
      <w:b/>
      <w:bCs/>
      <w:color w:val="1E2A78" w:themeColor="accent1"/>
      <w:sz w:val="24"/>
      <w:szCs w:val="24"/>
    </w:rPr>
  </w:style>
  <w:style w:type="character" w:customStyle="1" w:styleId="MidBlue">
    <w:name w:val="Mid Blue"/>
    <w:uiPriority w:val="1"/>
    <w:qFormat/>
    <w:rsid w:val="00720B5B"/>
    <w:rPr>
      <w:color w:val="0069B1" w:themeColor="accent2"/>
    </w:rPr>
  </w:style>
  <w:style w:type="character" w:customStyle="1" w:styleId="Weiss">
    <w:name w:val="Weiss"/>
    <w:uiPriority w:val="1"/>
    <w:qFormat/>
    <w:rsid w:val="00720B5B"/>
    <w:rPr>
      <w:color w:val="FFFFFF" w:themeColor="background1"/>
    </w:rPr>
  </w:style>
  <w:style w:type="paragraph" w:styleId="Header">
    <w:name w:val="header"/>
    <w:basedOn w:val="Normal"/>
    <w:link w:val="HeaderChar"/>
    <w:uiPriority w:val="99"/>
    <w:unhideWhenUsed/>
    <w:rsid w:val="00D02FA5"/>
    <w:pPr>
      <w:tabs>
        <w:tab w:val="center" w:pos="4513"/>
        <w:tab w:val="right" w:pos="9026"/>
      </w:tabs>
    </w:pPr>
  </w:style>
  <w:style w:type="character" w:customStyle="1" w:styleId="HeaderChar">
    <w:name w:val="Header Char"/>
    <w:basedOn w:val="DefaultParagraphFont"/>
    <w:link w:val="Header"/>
    <w:uiPriority w:val="99"/>
    <w:rsid w:val="00D02FA5"/>
    <w:rPr>
      <w:rFonts w:ascii="DeutscheBank" w:eastAsia="Times New Roman" w:hAnsi="DeutscheBank" w:cs="Times New Roman"/>
      <w:kern w:val="0"/>
      <w:sz w:val="20"/>
      <w:szCs w:val="20"/>
      <w:lang w:eastAsia="de-DE"/>
      <w14:ligatures w14:val="none"/>
    </w:rPr>
  </w:style>
  <w:style w:type="paragraph" w:styleId="ListParagraph">
    <w:name w:val="List Paragraph"/>
    <w:basedOn w:val="Auflistung1"/>
    <w:uiPriority w:val="2"/>
    <w:qFormat/>
    <w:rsid w:val="00720B5B"/>
  </w:style>
  <w:style w:type="character" w:customStyle="1" w:styleId="DeutscheBankMedium">
    <w:name w:val="DeutscheBank Medium"/>
    <w:uiPriority w:val="1"/>
    <w:qFormat/>
    <w:rsid w:val="00B11E20"/>
    <w:rPr>
      <w:rFonts w:ascii="DeutscheBank Medium" w:hAnsi="DeutscheBank Medium"/>
    </w:rPr>
  </w:style>
  <w:style w:type="character" w:styleId="Hyperlink">
    <w:name w:val="Hyperlink"/>
    <w:uiPriority w:val="99"/>
    <w:unhideWhenUsed/>
    <w:rsid w:val="0008751D"/>
    <w:rPr>
      <w:color w:val="0563C1"/>
      <w:u w:val="single"/>
    </w:rPr>
  </w:style>
  <w:style w:type="paragraph" w:styleId="TOC1">
    <w:name w:val="toc 1"/>
    <w:basedOn w:val="Normal"/>
    <w:next w:val="Normal"/>
    <w:autoRedefine/>
    <w:uiPriority w:val="39"/>
    <w:unhideWhenUsed/>
    <w:rsid w:val="006D28CE"/>
    <w:pPr>
      <w:tabs>
        <w:tab w:val="left" w:pos="480"/>
        <w:tab w:val="right" w:leader="dot" w:pos="9062"/>
      </w:tabs>
      <w:spacing w:after="100"/>
    </w:pPr>
    <w:rPr>
      <w:rFonts w:ascii="DeutscheBank" w:hAnsi="DeutscheBank"/>
      <w:b/>
      <w:bCs/>
      <w:noProof/>
      <w:color w:val="1E2A78" w:themeColor="accent1"/>
      <w:lang w:val="en-GB"/>
    </w:rPr>
  </w:style>
  <w:style w:type="paragraph" w:styleId="TOC2">
    <w:name w:val="toc 2"/>
    <w:basedOn w:val="Normal"/>
    <w:next w:val="Normal"/>
    <w:autoRedefine/>
    <w:uiPriority w:val="39"/>
    <w:unhideWhenUsed/>
    <w:rsid w:val="0008751D"/>
    <w:pPr>
      <w:spacing w:after="100"/>
      <w:ind w:left="210"/>
    </w:pPr>
  </w:style>
  <w:style w:type="paragraph" w:customStyle="1" w:styleId="Copy">
    <w:name w:val="Copy"/>
    <w:basedOn w:val="Normal"/>
    <w:uiPriority w:val="1"/>
    <w:qFormat/>
    <w:rsid w:val="0008751D"/>
    <w:pPr>
      <w:spacing w:after="260" w:line="260" w:lineRule="atLeast"/>
    </w:pPr>
    <w:rPr>
      <w:rFonts w:asciiTheme="minorHAnsi" w:eastAsiaTheme="minorHAnsi" w:hAnsiTheme="minorHAnsi" w:cstheme="minorBidi"/>
      <w:color w:val="auto"/>
      <w:sz w:val="20"/>
      <w:szCs w:val="24"/>
      <w:lang w:val="en-US" w:eastAsia="en-US"/>
      <w14:ligatures w14:val="standardContextual"/>
    </w:rPr>
  </w:style>
  <w:style w:type="paragraph" w:styleId="Caption">
    <w:name w:val="caption"/>
    <w:basedOn w:val="Normal"/>
    <w:next w:val="Normal"/>
    <w:uiPriority w:val="35"/>
    <w:unhideWhenUsed/>
    <w:qFormat/>
    <w:rsid w:val="0008751D"/>
    <w:pPr>
      <w:spacing w:before="260"/>
    </w:pPr>
    <w:rPr>
      <w:rFonts w:asciiTheme="minorHAnsi" w:eastAsiaTheme="minorHAnsi" w:hAnsiTheme="minorHAnsi" w:cstheme="minorBidi"/>
      <w:b/>
      <w:iCs/>
      <w:color w:val="000000" w:themeColor="text1"/>
      <w:sz w:val="20"/>
      <w:szCs w:val="18"/>
      <w:lang w:val="en-US" w:eastAsia="en-US"/>
      <w14:ligatures w14:val="standardContextual"/>
    </w:rPr>
  </w:style>
  <w:style w:type="paragraph" w:styleId="Revision">
    <w:name w:val="Revision"/>
    <w:hidden/>
    <w:uiPriority w:val="99"/>
    <w:semiHidden/>
    <w:rsid w:val="00521A5B"/>
    <w:pPr>
      <w:spacing w:after="0" w:line="240" w:lineRule="auto"/>
    </w:pPr>
    <w:rPr>
      <w:rFonts w:ascii="Arial" w:eastAsia="Arial" w:hAnsi="Arial" w:cs="Arial"/>
      <w:color w:val="222222"/>
      <w:kern w:val="0"/>
      <w:sz w:val="21"/>
      <w:szCs w:val="21"/>
      <w:lang w:eastAsia="de-DE"/>
      <w14:ligatures w14:val="none"/>
    </w:rPr>
  </w:style>
  <w:style w:type="character" w:styleId="Mention">
    <w:name w:val="Mention"/>
    <w:basedOn w:val="DefaultParagraphFont"/>
    <w:uiPriority w:val="99"/>
    <w:unhideWhenUsed/>
    <w:rsid w:val="006773E2"/>
    <w:rPr>
      <w:color w:val="2B579A"/>
      <w:shd w:val="clear" w:color="auto" w:fill="E1DFDD"/>
    </w:rPr>
  </w:style>
  <w:style w:type="paragraph" w:styleId="NormalWeb">
    <w:name w:val="Normal (Web)"/>
    <w:basedOn w:val="Normal"/>
    <w:uiPriority w:val="99"/>
    <w:semiHidden/>
    <w:unhideWhenUsed/>
    <w:rsid w:val="004A1869"/>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F42910"/>
    <w:rPr>
      <w:color w:val="00A3E0" w:themeColor="followedHyperlink"/>
      <w:u w:val="single"/>
    </w:rPr>
  </w:style>
  <w:style w:type="paragraph" w:styleId="TOCHeading">
    <w:name w:val="TOC Heading"/>
    <w:basedOn w:val="Heading1"/>
    <w:next w:val="Normal"/>
    <w:uiPriority w:val="39"/>
    <w:unhideWhenUsed/>
    <w:qFormat/>
    <w:rsid w:val="00513AC3"/>
    <w:pPr>
      <w:numPr>
        <w:numId w:val="0"/>
      </w:numPr>
      <w:suppressAutoHyphens w:val="0"/>
      <w:spacing w:before="240" w:line="259" w:lineRule="auto"/>
      <w:contextualSpacing w:val="0"/>
      <w:outlineLvl w:val="9"/>
    </w:pPr>
    <w:rPr>
      <w:b w:val="0"/>
      <w:bCs w:val="0"/>
      <w:noProof w:val="0"/>
      <w:color w:val="161F59" w:themeColor="accent1" w:themeShade="BF"/>
    </w:rPr>
  </w:style>
  <w:style w:type="paragraph" w:customStyle="1" w:styleId="Intro">
    <w:name w:val="Intro"/>
    <w:basedOn w:val="Subtitle"/>
    <w:uiPriority w:val="12"/>
    <w:qFormat/>
    <w:rsid w:val="007B5D4C"/>
    <w:pPr>
      <w:spacing w:after="0" w:line="260" w:lineRule="atLeast"/>
      <w:ind w:left="-567"/>
    </w:pPr>
    <w:rPr>
      <w:color w:val="FFFFFF" w:themeColor="background1"/>
      <w:sz w:val="20"/>
      <w:szCs w:val="32"/>
      <w:lang w:eastAsia="en-US"/>
      <w14:ligatures w14:val="standardContextual"/>
    </w:rPr>
  </w:style>
  <w:style w:type="character" w:customStyle="1" w:styleId="CommentReference1">
    <w:name w:val="Comment Reference1"/>
    <w:basedOn w:val="DefaultParagraphFont"/>
    <w:uiPriority w:val="99"/>
    <w:semiHidden/>
    <w:unhideWhenUsed/>
    <w:rsid w:val="00182089"/>
    <w:rPr>
      <w:sz w:val="16"/>
      <w:szCs w:val="16"/>
    </w:rPr>
  </w:style>
  <w:style w:type="paragraph" w:customStyle="1" w:styleId="CommentText1">
    <w:name w:val="Comment Text1"/>
    <w:basedOn w:val="Normal"/>
    <w:uiPriority w:val="99"/>
    <w:unhideWhenUsed/>
    <w:rsid w:val="00182089"/>
    <w:rPr>
      <w:sz w:val="20"/>
      <w:szCs w:val="20"/>
    </w:rPr>
  </w:style>
  <w:style w:type="paragraph" w:customStyle="1" w:styleId="CommentSubject1">
    <w:name w:val="Comment Subject1"/>
    <w:basedOn w:val="CommentText1"/>
    <w:next w:val="CommentText1"/>
    <w:uiPriority w:val="99"/>
    <w:semiHidden/>
    <w:unhideWhenUsed/>
    <w:rsid w:val="00182089"/>
    <w:rPr>
      <w:b/>
      <w:bCs/>
    </w:rPr>
  </w:style>
  <w:style w:type="character" w:styleId="LineNumber">
    <w:name w:val="line number"/>
    <w:basedOn w:val="DefaultParagraphFont"/>
    <w:uiPriority w:val="99"/>
    <w:semiHidden/>
    <w:unhideWhenUsed/>
    <w:rsid w:val="00F81D92"/>
  </w:style>
  <w:style w:type="paragraph" w:customStyle="1" w:styleId="CommentText2">
    <w:name w:val="Comment Text2"/>
    <w:basedOn w:val="Normal"/>
    <w:uiPriority w:val="99"/>
    <w:unhideWhenUsed/>
    <w:rsid w:val="006A22D7"/>
    <w:rPr>
      <w:sz w:val="20"/>
      <w:szCs w:val="20"/>
    </w:rPr>
  </w:style>
  <w:style w:type="character" w:customStyle="1" w:styleId="CommentReference2">
    <w:name w:val="Comment Reference2"/>
    <w:basedOn w:val="DefaultParagraphFont"/>
    <w:uiPriority w:val="99"/>
    <w:semiHidden/>
    <w:unhideWhenUsed/>
    <w:rsid w:val="006A22D7"/>
    <w:rPr>
      <w:sz w:val="16"/>
      <w:szCs w:val="16"/>
    </w:rPr>
  </w:style>
  <w:style w:type="paragraph" w:customStyle="1" w:styleId="CommentSubject2">
    <w:name w:val="Comment Subject2"/>
    <w:basedOn w:val="CommentText2"/>
    <w:next w:val="CommentText2"/>
    <w:uiPriority w:val="99"/>
    <w:semiHidden/>
    <w:unhideWhenUsed/>
    <w:rsid w:val="006A22D7"/>
    <w:rPr>
      <w:b/>
      <w:bC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color w:val="222222"/>
      <w:kern w:val="0"/>
      <w:sz w:val="20"/>
      <w:szCs w:val="20"/>
      <w:lang w:eastAsia="de-DE"/>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E6CE0"/>
    <w:rPr>
      <w:b/>
      <w:bCs/>
    </w:rPr>
  </w:style>
  <w:style w:type="character" w:customStyle="1" w:styleId="CommentSubjectChar">
    <w:name w:val="Comment Subject Char"/>
    <w:basedOn w:val="CommentTextChar"/>
    <w:link w:val="CommentSubject"/>
    <w:uiPriority w:val="99"/>
    <w:semiHidden/>
    <w:rsid w:val="000E6CE0"/>
    <w:rPr>
      <w:rFonts w:ascii="Arial" w:eastAsia="Arial" w:hAnsi="Arial" w:cs="Arial"/>
      <w:b/>
      <w:bCs/>
      <w:color w:val="222222"/>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fontTable" Target="fontTable.xml"/><Relationship Id="rId21" Type="http://schemas.openxmlformats.org/officeDocument/2006/relationships/image" Target="media/image11.jpe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https://deutschebank.sharepoint.com/sites/DeutscheBankCorporateDesign/MS%20Templates/db-word-template-a4-de-2025-02-04.dotx" TargetMode="External"/></Relationships>
</file>

<file path=word/theme/theme1.xml><?xml version="1.0" encoding="utf-8"?>
<a:theme xmlns:a="http://schemas.openxmlformats.org/drawingml/2006/main" name="db25-bright-2025-01">
  <a:themeElements>
    <a:clrScheme name="DB 2024 09">
      <a:dk1>
        <a:srgbClr val="000000"/>
      </a:dk1>
      <a:lt1>
        <a:srgbClr val="FFFFFF"/>
      </a:lt1>
      <a:dk2>
        <a:srgbClr val="16184E"/>
      </a:dk2>
      <a:lt2>
        <a:srgbClr val="CCEDF9"/>
      </a:lt2>
      <a:accent1>
        <a:srgbClr val="1E2A78"/>
      </a:accent1>
      <a:accent2>
        <a:srgbClr val="0069B1"/>
      </a:accent2>
      <a:accent3>
        <a:srgbClr val="3BB8B8"/>
      </a:accent3>
      <a:accent4>
        <a:srgbClr val="24778D"/>
      </a:accent4>
      <a:accent5>
        <a:srgbClr val="25A62D"/>
      </a:accent5>
      <a:accent6>
        <a:srgbClr val="C9DD03"/>
      </a:accent6>
      <a:hlink>
        <a:srgbClr val="00A3E0"/>
      </a:hlink>
      <a:folHlink>
        <a:srgbClr val="00A3E0"/>
      </a:folHlink>
    </a:clrScheme>
    <a:fontScheme name="Deutsche Bank 2024 09">
      <a:majorFont>
        <a:latin typeface="DeutscheBank"/>
        <a:ea typeface="MS PGothic"/>
        <a:cs typeface=""/>
      </a:majorFont>
      <a:minorFont>
        <a:latin typeface="DeutscheBan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a:noFill/>
      </a:spPr>
      <a:bodyPr wrap="none" lIns="0" tIns="0" rIns="0" bIns="0" rtlCol="0">
        <a:spAutoFit/>
      </a:bodyPr>
      <a:lstStyle>
        <a:defPPr algn="l">
          <a:defRPr sz="1400" dirty="0" smtClean="0"/>
        </a:defPPr>
      </a:lstStyle>
    </a:txDef>
  </a:objectDefaults>
  <a:extraClrSchemeLst/>
  <a:custClrLst>
    <a:custClr name="Deep Blue">
      <a:srgbClr val="1E2A78"/>
    </a:custClr>
    <a:custClr name="Dark Blue">
      <a:srgbClr val="16184E"/>
    </a:custClr>
    <a:custClr name="Mid Blue">
      <a:srgbClr val="0069B1"/>
    </a:custClr>
    <a:custClr name="Bright Blue">
      <a:srgbClr val="34A6DC"/>
    </a:custClr>
    <a:custClr name="Light Blue">
      <a:srgbClr val="CDEBF6"/>
    </a:custClr>
    <a:custClr name="Ice Blue">
      <a:srgbClr val="ECF4FC"/>
    </a:custClr>
    <a:custClr name="Grey">
      <a:srgbClr val="EDF1F7"/>
    </a:custClr>
    <a:custClr name="Light Violet">
      <a:srgbClr val="C18EBD"/>
    </a:custClr>
    <a:custClr name="Rubine Red">
      <a:srgbClr val="D4065D"/>
    </a:custClr>
    <a:custClr name="White">
      <a:srgbClr val="FFFFFF"/>
    </a:custClr>
    <a:custClr name="Turquoise">
      <a:srgbClr val="3BB8B8"/>
    </a:custClr>
    <a:custClr name="Petrol">
      <a:srgbClr val="24778D"/>
    </a:custClr>
    <a:custClr name="Summer Green">
      <a:srgbClr val="25A62D"/>
    </a:custClr>
    <a:custClr name="Spring Green">
      <a:srgbClr val="C9DD03"/>
    </a:custClr>
    <a:custClr name="Autumn Green">
      <a:srgbClr val="A1AC05"/>
    </a:custClr>
    <a:custClr name="Lucent Yellow">
      <a:srgbClr val="FFE600"/>
    </a:custClr>
    <a:custClr name="Sundown Orange">
      <a:srgbClr val="F28011"/>
    </a:custClr>
    <a:custClr name="Night Violet">
      <a:srgbClr val="431661"/>
    </a:custClr>
    <a:custClr name="Bright Red">
      <a:srgbClr val="E7001D"/>
    </a:custClr>
    <a:custClr name="White">
      <a:srgbClr val="FFFFFF"/>
    </a:custClr>
  </a:custClrLst>
  <a:extLst>
    <a:ext uri="{05A4C25C-085E-4340-85A3-A5531E510DB2}">
      <thm15:themeFamily xmlns:thm15="http://schemas.microsoft.com/office/thememl/2012/main" name="db25-bright-2025-01" id="{CA244B49-EAEF-48DF-84C1-A9E7ED5098D5}" vid="{563B4E59-7B47-4CC4-B526-8B6322A615F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3196A874D01049B1A03260E77D8D3A" ma:contentTypeVersion="15" ma:contentTypeDescription="Create a new document." ma:contentTypeScope="" ma:versionID="5c2e770ede307a4b58419cb6202f5955">
  <xsd:schema xmlns:xsd="http://www.w3.org/2001/XMLSchema" xmlns:xs="http://www.w3.org/2001/XMLSchema" xmlns:p="http://schemas.microsoft.com/office/2006/metadata/properties" xmlns:ns1="http://schemas.microsoft.com/sharepoint/v3" xmlns:ns2="d81d000a-7f1e-494a-895f-a83bd7b1e289" xmlns:ns3="a31fefd6-978c-4300-9ea1-09d31710d4c6" targetNamespace="http://schemas.microsoft.com/office/2006/metadata/properties" ma:root="true" ma:fieldsID="87fc4c7c07a4716031da3c15ff6d072c" ns1:_="" ns2:_="" ns3:_="">
    <xsd:import namespace="http://schemas.microsoft.com/sharepoint/v3"/>
    <xsd:import namespace="d81d000a-7f1e-494a-895f-a83bd7b1e289"/>
    <xsd:import namespace="a31fefd6-978c-4300-9ea1-09d31710d4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d000a-7f1e-494a-895f-a83bd7b1e2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fc7666e-d55c-42e6-98c7-52deeb412a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1fefd6-978c-4300-9ea1-09d31710d4c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94edd86-cdce-4e1a-8deb-61ec6acdb099}" ma:internalName="TaxCatchAll" ma:showField="CatchAllData" ma:web="a31fefd6-978c-4300-9ea1-09d31710d4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d000a-7f1e-494a-895f-a83bd7b1e289">
      <Terms xmlns="http://schemas.microsoft.com/office/infopath/2007/PartnerControls"/>
    </lcf76f155ced4ddcb4097134ff3c332f>
    <TaxCatchAll xmlns="a31fefd6-978c-4300-9ea1-09d31710d4c6" xsi:nil="true"/>
  </documentManagement>
</p:properties>
</file>

<file path=customXml/itemProps1.xml><?xml version="1.0" encoding="utf-8"?>
<ds:datastoreItem xmlns:ds="http://schemas.openxmlformats.org/officeDocument/2006/customXml" ds:itemID="{4E9BDD2C-42A1-41C2-86A6-81CCE0B4F303}">
  <ds:schemaRefs>
    <ds:schemaRef ds:uri="http://schemas.openxmlformats.org/officeDocument/2006/bibliography"/>
  </ds:schemaRefs>
</ds:datastoreItem>
</file>

<file path=customXml/itemProps2.xml><?xml version="1.0" encoding="utf-8"?>
<ds:datastoreItem xmlns:ds="http://schemas.openxmlformats.org/officeDocument/2006/customXml" ds:itemID="{6CA9B129-8074-41B2-8DD8-979C17FA7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1d000a-7f1e-494a-895f-a83bd7b1e289"/>
    <ds:schemaRef ds:uri="a31fefd6-978c-4300-9ea1-09d31710d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0444DD-C087-48D4-8D66-E4D9D136F7AE}">
  <ds:schemaRefs>
    <ds:schemaRef ds:uri="http://schemas.microsoft.com/sharepoint/v3/contenttype/forms"/>
  </ds:schemaRefs>
</ds:datastoreItem>
</file>

<file path=customXml/itemProps4.xml><?xml version="1.0" encoding="utf-8"?>
<ds:datastoreItem xmlns:ds="http://schemas.openxmlformats.org/officeDocument/2006/customXml" ds:itemID="{AD7B97F1-09C8-494D-A5FE-5E0DDC46FACE}">
  <ds:schemaRefs>
    <ds:schemaRef ds:uri="http://schemas.microsoft.com/office/2006/metadata/properties"/>
    <ds:schemaRef ds:uri="http://schemas.microsoft.com/office/infopath/2007/PartnerControls"/>
    <ds:schemaRef ds:uri="http://schemas.microsoft.com/sharepoint/v3"/>
    <ds:schemaRef ds:uri="d81d000a-7f1e-494a-895f-a83bd7b1e289"/>
    <ds:schemaRef ds:uri="a31fefd6-978c-4300-9ea1-09d31710d4c6"/>
  </ds:schemaRefs>
</ds:datastoreItem>
</file>

<file path=docProps/app.xml><?xml version="1.0" encoding="utf-8"?>
<Properties xmlns="http://schemas.openxmlformats.org/officeDocument/2006/extended-properties" xmlns:vt="http://schemas.openxmlformats.org/officeDocument/2006/docPropsVTypes">
  <Template>db-word-template-a4-de-2025-02-04.dotx</Template>
  <TotalTime>0</TotalTime>
  <Pages>26</Pages>
  <Words>5084</Words>
  <Characters>32033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37043</CharactersWithSpaces>
  <SharedDoc>false</SharedDoc>
  <HLinks>
    <vt:vector size="66" baseType="variant">
      <vt:variant>
        <vt:i4>1179699</vt:i4>
      </vt:variant>
      <vt:variant>
        <vt:i4>62</vt:i4>
      </vt:variant>
      <vt:variant>
        <vt:i4>0</vt:i4>
      </vt:variant>
      <vt:variant>
        <vt:i4>5</vt:i4>
      </vt:variant>
      <vt:variant>
        <vt:lpwstr/>
      </vt:variant>
      <vt:variant>
        <vt:lpwstr>_Toc240632254</vt:lpwstr>
      </vt:variant>
      <vt:variant>
        <vt:i4>1179699</vt:i4>
      </vt:variant>
      <vt:variant>
        <vt:i4>56</vt:i4>
      </vt:variant>
      <vt:variant>
        <vt:i4>0</vt:i4>
      </vt:variant>
      <vt:variant>
        <vt:i4>5</vt:i4>
      </vt:variant>
      <vt:variant>
        <vt:lpwstr/>
      </vt:variant>
      <vt:variant>
        <vt:lpwstr>_Toc240632253</vt:lpwstr>
      </vt:variant>
      <vt:variant>
        <vt:i4>1179699</vt:i4>
      </vt:variant>
      <vt:variant>
        <vt:i4>50</vt:i4>
      </vt:variant>
      <vt:variant>
        <vt:i4>0</vt:i4>
      </vt:variant>
      <vt:variant>
        <vt:i4>5</vt:i4>
      </vt:variant>
      <vt:variant>
        <vt:lpwstr/>
      </vt:variant>
      <vt:variant>
        <vt:lpwstr>_Toc240632252</vt:lpwstr>
      </vt:variant>
      <vt:variant>
        <vt:i4>1179699</vt:i4>
      </vt:variant>
      <vt:variant>
        <vt:i4>44</vt:i4>
      </vt:variant>
      <vt:variant>
        <vt:i4>0</vt:i4>
      </vt:variant>
      <vt:variant>
        <vt:i4>5</vt:i4>
      </vt:variant>
      <vt:variant>
        <vt:lpwstr/>
      </vt:variant>
      <vt:variant>
        <vt:lpwstr>_Toc240632251</vt:lpwstr>
      </vt:variant>
      <vt:variant>
        <vt:i4>1179699</vt:i4>
      </vt:variant>
      <vt:variant>
        <vt:i4>38</vt:i4>
      </vt:variant>
      <vt:variant>
        <vt:i4>0</vt:i4>
      </vt:variant>
      <vt:variant>
        <vt:i4>5</vt:i4>
      </vt:variant>
      <vt:variant>
        <vt:lpwstr/>
      </vt:variant>
      <vt:variant>
        <vt:lpwstr>_Toc240632250</vt:lpwstr>
      </vt:variant>
      <vt:variant>
        <vt:i4>1245235</vt:i4>
      </vt:variant>
      <vt:variant>
        <vt:i4>32</vt:i4>
      </vt:variant>
      <vt:variant>
        <vt:i4>0</vt:i4>
      </vt:variant>
      <vt:variant>
        <vt:i4>5</vt:i4>
      </vt:variant>
      <vt:variant>
        <vt:lpwstr/>
      </vt:variant>
      <vt:variant>
        <vt:lpwstr>_Toc240632249</vt:lpwstr>
      </vt:variant>
      <vt:variant>
        <vt:i4>1245235</vt:i4>
      </vt:variant>
      <vt:variant>
        <vt:i4>26</vt:i4>
      </vt:variant>
      <vt:variant>
        <vt:i4>0</vt:i4>
      </vt:variant>
      <vt:variant>
        <vt:i4>5</vt:i4>
      </vt:variant>
      <vt:variant>
        <vt:lpwstr/>
      </vt:variant>
      <vt:variant>
        <vt:lpwstr>_Toc240632248</vt:lpwstr>
      </vt:variant>
      <vt:variant>
        <vt:i4>1245235</vt:i4>
      </vt:variant>
      <vt:variant>
        <vt:i4>20</vt:i4>
      </vt:variant>
      <vt:variant>
        <vt:i4>0</vt:i4>
      </vt:variant>
      <vt:variant>
        <vt:i4>5</vt:i4>
      </vt:variant>
      <vt:variant>
        <vt:lpwstr/>
      </vt:variant>
      <vt:variant>
        <vt:lpwstr>_Toc240632247</vt:lpwstr>
      </vt:variant>
      <vt:variant>
        <vt:i4>1245235</vt:i4>
      </vt:variant>
      <vt:variant>
        <vt:i4>14</vt:i4>
      </vt:variant>
      <vt:variant>
        <vt:i4>0</vt:i4>
      </vt:variant>
      <vt:variant>
        <vt:i4>5</vt:i4>
      </vt:variant>
      <vt:variant>
        <vt:lpwstr/>
      </vt:variant>
      <vt:variant>
        <vt:lpwstr>_Toc240632246</vt:lpwstr>
      </vt:variant>
      <vt:variant>
        <vt:i4>1245235</vt:i4>
      </vt:variant>
      <vt:variant>
        <vt:i4>8</vt:i4>
      </vt:variant>
      <vt:variant>
        <vt:i4>0</vt:i4>
      </vt:variant>
      <vt:variant>
        <vt:i4>5</vt:i4>
      </vt:variant>
      <vt:variant>
        <vt:lpwstr/>
      </vt:variant>
      <vt:variant>
        <vt:lpwstr>_Toc240632245</vt:lpwstr>
      </vt:variant>
      <vt:variant>
        <vt:i4>1245235</vt:i4>
      </vt:variant>
      <vt:variant>
        <vt:i4>2</vt:i4>
      </vt:variant>
      <vt:variant>
        <vt:i4>0</vt:i4>
      </vt:variant>
      <vt:variant>
        <vt:i4>5</vt:i4>
      </vt:variant>
      <vt:variant>
        <vt:lpwstr/>
      </vt:variant>
      <vt:variant>
        <vt:lpwstr>_Toc240632244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Sentiment Survey on Europe – vollständiger Bericht</dc:title>
  <dc:subject/>
  <dc:creator>Eva Butz</dc:creator>
  <cp:keywords>Public</cp:keywords>
  <dc:description/>
  <cp:lastModifiedBy>Jacques Regnier</cp:lastModifiedBy>
  <cp:revision>1253</cp:revision>
  <cp:lastPrinted>2026-09-21T06:54:00Z</cp:lastPrinted>
  <dcterms:created xsi:type="dcterms:W3CDTF">2026-09-12T08:29:00Z</dcterms:created>
  <dcterms:modified xsi:type="dcterms:W3CDTF">2026-09-21T08:13:00Z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0x0101009D3196A874D01049B1A03260E77D8D3A</vt:lpwstr>
  </property>
  <property fmtid="{D5CDD505-2E9C-101B-9397-08002B2CF9AE}" pid="3" name="ClassificationContentMarkingFooterFontProps">
    <vt:lpwstr>#000000,10,Aptos</vt:lpwstr>
  </property>
  <property fmtid="{D5CDD505-2E9C-101B-9397-08002B2CF9AE}" pid="4" name="MediaServiceImageTags">
    <vt:lpwstr/>
  </property>
  <property fmtid="{D5CDD505-2E9C-101B-9397-08002B2CF9AE}" pid="5" name="docLang">
    <vt:lpwstr>de</vt:lpwstr>
  </property>
  <property fmtid="{D5CDD505-2E9C-101B-9397-08002B2CF9AE}" pid="6" name="ClassificationContentMarkingFooterShapeIds">
    <vt:lpwstr>b555084,4ed5e7ca,7498e828,76bbd947</vt:lpwstr>
  </property>
  <property fmtid="{D5CDD505-2E9C-101B-9397-08002B2CF9AE}" pid="7" name="ClassificationContentMarkingFooterText">
    <vt:lpwstr> </vt:lpwstr>
  </property>
  <property fmtid="{D5CDD505-2E9C-101B-9397-08002B2CF9AE}" pid="8" name="MSIP_Label_958510b9-3810-472f-9abf-3a689c488070_Enabled">
    <vt:lpwstr>true</vt:lpwstr>
  </property>
  <property fmtid="{D5CDD505-2E9C-101B-9397-08002B2CF9AE}" pid="9" name="MSIP_Label_958510b9-3810-472f-9abf-3a689c488070_SetDate">
    <vt:lpwstr>2026-09-16T16:09:14Z</vt:lpwstr>
  </property>
  <property fmtid="{D5CDD505-2E9C-101B-9397-08002B2CF9AE}" pid="10" name="MSIP_Label_958510b9-3810-472f-9abf-3a689c488070_Method">
    <vt:lpwstr>Privileged</vt:lpwstr>
  </property>
  <property fmtid="{D5CDD505-2E9C-101B-9397-08002B2CF9AE}" pid="11" name="MSIP_Label_958510b9-3810-472f-9abf-3a689c488070_Name">
    <vt:lpwstr>958510b9-3810-472f-9abf-3a689c488070</vt:lpwstr>
  </property>
  <property fmtid="{D5CDD505-2E9C-101B-9397-08002B2CF9AE}" pid="12" name="MSIP_Label_958510b9-3810-472f-9abf-3a689c488070_SiteId">
    <vt:lpwstr>1e9b61e8-e590-4abc-b1af-24125e330d2a</vt:lpwstr>
  </property>
  <property fmtid="{D5CDD505-2E9C-101B-9397-08002B2CF9AE}" pid="13" name="MSIP_Label_958510b9-3810-472f-9abf-3a689c488070_ActionId">
    <vt:lpwstr>03905c55-3247-4b63-8133-00be43597a27</vt:lpwstr>
  </property>
  <property fmtid="{D5CDD505-2E9C-101B-9397-08002B2CF9AE}" pid="14" name="MSIP_Label_958510b9-3810-472f-9abf-3a689c488070_ContentBits">
    <vt:lpwstr>3</vt:lpwstr>
  </property>
  <property fmtid="{D5CDD505-2E9C-101B-9397-08002B2CF9AE}" pid="15" name="MSIP_Label_958510b9-3810-472f-9abf-3a689c488070_Tag">
    <vt:lpwstr>10, 0, 1, 1</vt:lpwstr>
  </property>
</Properties>
</file>