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5A5AA" w14:textId="62B90342" w:rsidR="009E4A07" w:rsidRPr="009E4A07" w:rsidRDefault="00911107" w:rsidP="009E4A07">
      <w:pPr>
        <w:ind w:left="7080"/>
        <w:rPr>
          <w:rFonts w:ascii="DeutscheBank" w:hAnsi="DeutscheBank"/>
          <w:noProof/>
          <w:sz w:val="28"/>
          <w:szCs w:val="28"/>
        </w:rPr>
      </w:pPr>
      <w:r w:rsidRPr="009E4A07">
        <w:rPr>
          <w:rFonts w:ascii="DeutscheBank" w:hAnsi="DeutscheBank"/>
          <w:noProof/>
          <w:sz w:val="28"/>
          <w:szCs w:val="28"/>
        </w:rPr>
        <w:drawing>
          <wp:anchor distT="0" distB="0" distL="114300" distR="114300" simplePos="0" relativeHeight="251658240" behindDoc="0" locked="0" layoutInCell="1" allowOverlap="1" wp14:anchorId="587701D6" wp14:editId="7D31F42C">
            <wp:simplePos x="0" y="0"/>
            <wp:positionH relativeFrom="margin">
              <wp:posOffset>-1010920</wp:posOffset>
            </wp:positionH>
            <wp:positionV relativeFrom="paragraph">
              <wp:posOffset>-4570920</wp:posOffset>
            </wp:positionV>
            <wp:extent cx="7857490" cy="13968153"/>
            <wp:effectExtent l="0" t="0" r="0" b="0"/>
            <wp:wrapNone/>
            <wp:docPr id="1926643548" name="Grafik 8" descr="Stylized digital map of Europe showing a blue low-poly geographic network. White connecting lines and nodes span countries, while magenta boundary accents highlight borders and regional outlines against a light-blu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643548" name="Grafik 8" descr="Stylized digital map of Europe showing a blue low-poly geographic network. White connecting lines and nodes span countries, while magenta boundary accents highlight borders and regional outlines against a light-blue backgroun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57490" cy="1396815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5F8F38" w14:textId="78071E56" w:rsidR="00B3017A" w:rsidRPr="001710B7" w:rsidRDefault="00B3017A" w:rsidP="000466A7">
      <w:pPr>
        <w:ind w:left="7080"/>
        <w:rPr>
          <w:sz w:val="28"/>
          <w:szCs w:val="28"/>
        </w:rPr>
      </w:pPr>
      <w:r w:rsidRPr="001710B7">
        <w:rPr>
          <w:rFonts w:ascii="DeutscheBank" w:hAnsi="DeutscheBank"/>
          <w:noProof/>
          <w:sz w:val="28"/>
          <w:szCs w:val="28"/>
        </w:rPr>
        <w:t xml:space="preserve"> </w:t>
      </w:r>
    </w:p>
    <w:p w14:paraId="490E3768" w14:textId="738A7241" w:rsidR="0008751D" w:rsidRDefault="0008751D" w:rsidP="0008751D">
      <w:pPr>
        <w:rPr>
          <w:rFonts w:ascii="DeutscheBank" w:hAnsi="DeutscheBank"/>
          <w:noProof/>
        </w:rPr>
      </w:pPr>
    </w:p>
    <w:p w14:paraId="0EBD3E33" w14:textId="424D9FD3" w:rsidR="0008751D" w:rsidRDefault="0008751D" w:rsidP="0008751D">
      <w:pPr>
        <w:rPr>
          <w:rFonts w:ascii="DeutscheBank" w:hAnsi="DeutscheBank"/>
          <w:noProof/>
        </w:rPr>
      </w:pPr>
    </w:p>
    <w:p w14:paraId="01416506" w14:textId="024C3ECC" w:rsidR="0008751D" w:rsidRDefault="0008751D" w:rsidP="0008751D">
      <w:pPr>
        <w:rPr>
          <w:rFonts w:ascii="DeutscheBank" w:hAnsi="DeutscheBank"/>
          <w:noProof/>
        </w:rPr>
      </w:pPr>
    </w:p>
    <w:p w14:paraId="117F6EAD" w14:textId="3874C35D" w:rsidR="0008751D" w:rsidRDefault="0008751D" w:rsidP="0008751D">
      <w:pPr>
        <w:rPr>
          <w:rFonts w:ascii="DeutscheBank" w:hAnsi="DeutscheBank"/>
          <w:noProof/>
        </w:rPr>
      </w:pPr>
    </w:p>
    <w:p w14:paraId="1680E733" w14:textId="6FE69110" w:rsidR="0008751D" w:rsidRDefault="0008751D" w:rsidP="0008751D">
      <w:pPr>
        <w:rPr>
          <w:rFonts w:ascii="DeutscheBank" w:hAnsi="DeutscheBank"/>
          <w:noProof/>
        </w:rPr>
      </w:pPr>
    </w:p>
    <w:p w14:paraId="25E527AA" w14:textId="47BA89EB" w:rsidR="0008751D" w:rsidRDefault="0008751D" w:rsidP="0008751D">
      <w:pPr>
        <w:rPr>
          <w:rFonts w:ascii="DeutscheBank" w:hAnsi="DeutscheBank"/>
          <w:noProof/>
        </w:rPr>
      </w:pPr>
    </w:p>
    <w:p w14:paraId="2F522E2E" w14:textId="7839BA80" w:rsidR="0008751D" w:rsidRDefault="0008751D" w:rsidP="0008751D">
      <w:pPr>
        <w:rPr>
          <w:rFonts w:ascii="DeutscheBank" w:hAnsi="DeutscheBank"/>
          <w:noProof/>
        </w:rPr>
      </w:pPr>
    </w:p>
    <w:p w14:paraId="018B9E9A" w14:textId="2A07D6A7" w:rsidR="0008751D" w:rsidRDefault="0008751D" w:rsidP="0008751D">
      <w:pPr>
        <w:rPr>
          <w:rFonts w:ascii="DeutscheBank" w:hAnsi="DeutscheBank"/>
          <w:noProof/>
        </w:rPr>
      </w:pPr>
    </w:p>
    <w:p w14:paraId="5BF61A5D" w14:textId="10D48001" w:rsidR="0008751D" w:rsidRPr="001E5405" w:rsidRDefault="0008751D" w:rsidP="0008751D">
      <w:pPr>
        <w:jc w:val="both"/>
        <w:rPr>
          <w:rFonts w:ascii="DeutscheBank" w:hAnsi="DeutscheBank"/>
        </w:rPr>
      </w:pPr>
    </w:p>
    <w:p w14:paraId="0B5E4957" w14:textId="3264D7C8" w:rsidR="0008751D" w:rsidRPr="001E5405" w:rsidRDefault="0008751D" w:rsidP="0008751D">
      <w:pPr>
        <w:jc w:val="both"/>
        <w:rPr>
          <w:rFonts w:ascii="DeutscheBank" w:hAnsi="DeutscheBank"/>
        </w:rPr>
      </w:pPr>
    </w:p>
    <w:p w14:paraId="458C2F7D" w14:textId="1B5FC160" w:rsidR="0008751D" w:rsidRPr="001E5405" w:rsidRDefault="0008751D" w:rsidP="0008751D">
      <w:pPr>
        <w:spacing w:after="200"/>
        <w:jc w:val="both"/>
        <w:rPr>
          <w:rFonts w:ascii="DeutscheBank" w:hAnsi="DeutscheBank"/>
          <w:lang w:val="en-GB"/>
        </w:rPr>
      </w:pPr>
    </w:p>
    <w:p w14:paraId="76BA2866" w14:textId="2C625F0D" w:rsidR="0008751D" w:rsidRPr="001E5405" w:rsidRDefault="0008751D" w:rsidP="0008751D">
      <w:pPr>
        <w:jc w:val="both"/>
        <w:rPr>
          <w:rFonts w:ascii="DeutscheBank" w:hAnsi="DeutscheBank"/>
        </w:rPr>
      </w:pPr>
    </w:p>
    <w:bookmarkStart w:id="0" w:name="_Toc239842181"/>
    <w:bookmarkStart w:id="1" w:name="_Toc239930519"/>
    <w:p w14:paraId="6BEF4082" w14:textId="438A52E5" w:rsidR="00C66F56" w:rsidRDefault="00A90CAB" w:rsidP="5ED7D7AD">
      <w:pPr>
        <w:spacing w:after="160" w:line="24" w:lineRule="auto"/>
        <w:rPr>
          <w:rFonts w:ascii="DeutscheBank" w:eastAsiaTheme="majorEastAsia" w:hAnsi="DeutscheBank" w:cstheme="majorBidi"/>
          <w:b/>
          <w:bCs/>
          <w:color w:val="1E2A78" w:themeColor="accent1"/>
          <w:sz w:val="28"/>
          <w:szCs w:val="28"/>
          <w:lang w:val="en-GB"/>
        </w:rPr>
      </w:pPr>
      <w:r w:rsidRPr="001E5405">
        <w:rPr>
          <w:rFonts w:ascii="DeutscheBank" w:hAnsi="DeutscheBank"/>
          <w:noProof/>
        </w:rPr>
        <mc:AlternateContent>
          <mc:Choice Requires="wps">
            <w:drawing>
              <wp:anchor distT="0" distB="0" distL="114300" distR="114300" simplePos="0" relativeHeight="251658241" behindDoc="0" locked="0" layoutInCell="1" allowOverlap="1" wp14:anchorId="6096F511" wp14:editId="6963F31B">
                <wp:simplePos x="0" y="0"/>
                <wp:positionH relativeFrom="margin">
                  <wp:posOffset>643076</wp:posOffset>
                </wp:positionH>
                <wp:positionV relativeFrom="paragraph">
                  <wp:posOffset>2655519</wp:posOffset>
                </wp:positionV>
                <wp:extent cx="4615891" cy="2882189"/>
                <wp:effectExtent l="0" t="0" r="0" b="0"/>
                <wp:wrapNone/>
                <wp:docPr id="606716227" name="Textfeld 7"/>
                <wp:cNvGraphicFramePr/>
                <a:graphic xmlns:a="http://schemas.openxmlformats.org/drawingml/2006/main">
                  <a:graphicData uri="http://schemas.microsoft.com/office/word/2010/wordprocessingShape">
                    <wps:wsp>
                      <wps:cNvSpPr/>
                      <wps:spPr>
                        <a:xfrm>
                          <a:off x="0" y="0"/>
                          <a:ext cx="4615891" cy="2882189"/>
                        </a:xfrm>
                        <a:prstGeom prst="rect">
                          <a:avLst/>
                        </a:prstGeom>
                        <a:solidFill>
                          <a:srgbClr val="1E2A78">
                            <a:alpha val="50000"/>
                          </a:srgbClr>
                        </a:solidFill>
                        <a:ln w="6350">
                          <a:noFill/>
                        </a:ln>
                      </wps:spPr>
                      <wps:txbx>
                        <w:txbxContent>
                          <w:p w14:paraId="36357C9F" w14:textId="77777777" w:rsidR="00FE4830" w:rsidRPr="00476F1D" w:rsidRDefault="00FE4830" w:rsidP="007B5D4C">
                            <w:pPr>
                              <w:rPr>
                                <w:color w:val="FFFFFF" w:themeColor="background1"/>
                                <w:lang w:val="en-US"/>
                              </w:rPr>
                            </w:pPr>
                            <w:r w:rsidRPr="00476F1D">
                              <w:rPr>
                                <w:rFonts w:asciiTheme="majorHAnsi" w:hAnsiTheme="majorHAnsi"/>
                                <w:b/>
                                <w:color w:val="FFFFFF" w:themeColor="background1"/>
                                <w:sz w:val="28"/>
                                <w:szCs w:val="28"/>
                                <w:lang w:val="en-US"/>
                              </w:rPr>
                              <w:t>Deutsche Bank</w:t>
                            </w:r>
                            <w:r w:rsidRPr="0065198F">
                              <w:rPr>
                                <w:color w:val="FFFFFF" w:themeColor="background1"/>
                                <w:lang w:val="en-US"/>
                              </w:rPr>
                              <w:t xml:space="preserve"> </w:t>
                            </w:r>
                            <w:r w:rsidRPr="00476F1D">
                              <w:rPr>
                                <w:color w:val="FFFFFF" w:themeColor="background1"/>
                                <w:lang w:val="en-US"/>
                              </w:rPr>
                              <w:br/>
                            </w:r>
                            <w:r w:rsidRPr="00476F1D">
                              <w:rPr>
                                <w:rFonts w:asciiTheme="majorHAnsi" w:hAnsiTheme="majorHAnsi"/>
                                <w:color w:val="FFFFFF" w:themeColor="background1"/>
                                <w:sz w:val="28"/>
                                <w:szCs w:val="28"/>
                                <w:lang w:val="en-US"/>
                              </w:rPr>
                              <w:t>Global Sentiment Survey on Europe 2026</w:t>
                            </w:r>
                            <w:r w:rsidRPr="00476F1D">
                              <w:rPr>
                                <w:color w:val="FFFFFF" w:themeColor="background1"/>
                                <w:lang w:val="en-US"/>
                              </w:rPr>
                              <w:br/>
                            </w:r>
                          </w:p>
                          <w:p w14:paraId="252A2D73" w14:textId="77777777" w:rsidR="0065198F" w:rsidRPr="0065198F" w:rsidRDefault="00FE4830" w:rsidP="0065198F">
                            <w:pPr>
                              <w:pStyle w:val="Subtitle"/>
                              <w:numPr>
                                <w:ilvl w:val="0"/>
                                <w:numId w:val="0"/>
                              </w:numPr>
                              <w:rPr>
                                <w:rFonts w:asciiTheme="majorHAnsi" w:hAnsiTheme="majorHAnsi"/>
                                <w:b/>
                                <w:bCs/>
                                <w:color w:val="FFFFFF" w:themeColor="background1"/>
                                <w:sz w:val="48"/>
                                <w:szCs w:val="48"/>
                                <w:lang w:val="en-US"/>
                              </w:rPr>
                            </w:pPr>
                            <w:r w:rsidRPr="00476F1D">
                              <w:rPr>
                                <w:rFonts w:asciiTheme="majorHAnsi" w:hAnsiTheme="majorHAnsi"/>
                                <w:b/>
                                <w:color w:val="FFFFFF" w:themeColor="background1"/>
                                <w:sz w:val="48"/>
                                <w:szCs w:val="48"/>
                                <w:lang w:val="en-US"/>
                              </w:rPr>
                              <w:t>The world has confidence in Europe. Now Europe must deliver</w:t>
                            </w:r>
                            <w:r w:rsidR="00E50D8A" w:rsidRPr="00476F1D">
                              <w:rPr>
                                <w:rFonts w:asciiTheme="majorHAnsi" w:hAnsiTheme="majorHAnsi"/>
                                <w:b/>
                                <w:color w:val="FFFFFF" w:themeColor="background1"/>
                                <w:sz w:val="48"/>
                                <w:szCs w:val="48"/>
                                <w:lang w:val="en-US"/>
                              </w:rPr>
                              <w:t>.</w:t>
                            </w:r>
                          </w:p>
                          <w:p w14:paraId="00CD81F6" w14:textId="1589AE6F" w:rsidR="0065198F" w:rsidRPr="00476F1D" w:rsidRDefault="0065198F" w:rsidP="0065198F">
                            <w:pPr>
                              <w:pStyle w:val="Subtitle"/>
                              <w:numPr>
                                <w:ilvl w:val="0"/>
                                <w:numId w:val="0"/>
                              </w:numPr>
                              <w:rPr>
                                <w:color w:val="FFFFFF" w:themeColor="background1"/>
                                <w:lang w:val="en-US"/>
                              </w:rPr>
                            </w:pPr>
                            <w:r w:rsidRPr="00476F1D">
                              <w:rPr>
                                <w:color w:val="FFFFFF" w:themeColor="background1"/>
                                <w:lang w:val="en-US"/>
                              </w:rPr>
                              <w:t>A global business view of Europe as an investment</w:t>
                            </w:r>
                            <w:r w:rsidR="00025EB9">
                              <w:rPr>
                                <w:color w:val="FFFFFF" w:themeColor="background1"/>
                                <w:lang w:val="en-US"/>
                              </w:rPr>
                              <w:t xml:space="preserve"> destination</w:t>
                            </w:r>
                          </w:p>
                          <w:p w14:paraId="3CFAADD6" w14:textId="66FF7928" w:rsidR="00FE4830" w:rsidRPr="00476F1D" w:rsidRDefault="00FE4830" w:rsidP="007B5D4C">
                            <w:pPr>
                              <w:rPr>
                                <w:rFonts w:asciiTheme="majorHAnsi" w:hAnsiTheme="majorHAnsi"/>
                                <w:b/>
                                <w:color w:val="FFFFFF" w:themeColor="background1"/>
                                <w:sz w:val="48"/>
                                <w:szCs w:val="48"/>
                                <w:lang w:val="en-US"/>
                              </w:rPr>
                            </w:pPr>
                          </w:p>
                          <w:p w14:paraId="77EBCEEB" w14:textId="465B133B" w:rsidR="00FE4830" w:rsidRPr="00476F1D" w:rsidRDefault="00FE4830" w:rsidP="00476F1D">
                            <w:pPr>
                              <w:pStyle w:val="Subtitle"/>
                              <w:numPr>
                                <w:ilvl w:val="0"/>
                                <w:numId w:val="0"/>
                              </w:numPr>
                              <w:rPr>
                                <w:color w:val="FFFFFF" w:themeColor="background1"/>
                                <w:lang w:val="en-US"/>
                              </w:rPr>
                            </w:pP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v:rect id="Textfeld 7" style="position:absolute;margin-left:50.65pt;margin-top:209.1pt;width:363.45pt;height:226.9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color="#1e2a78" stroked="f" strokeweight=".5pt" w14:anchorId="6096F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">
                <v:fill opacity="32896f"/>
                <v:textbox>
                  <w:txbxContent>
                    <w:p w:rsidRPr="00476F1D" w:rsidR="00FE4830" w:rsidP="007B5D4C" w:rsidRDefault="00FE4830" w14:paraId="36357C9F" w14:textId="77777777">
                      <w:pPr>
                        <w:rPr>
                          <w:color w:val="FFFFFF" w:themeColor="background1"/>
                          <w:lang w:val="en-US"/>
                        </w:rPr>
                      </w:pPr>
                      <w:r w:rsidRPr="00476F1D">
                        <w:rPr>
                          <w:rFonts w:asciiTheme="majorHAnsi" w:hAnsiTheme="majorHAnsi"/>
                          <w:b/>
                          <w:color w:val="FFFFFF" w:themeColor="background1"/>
                          <w:sz w:val="28"/>
                          <w:szCs w:val="28"/>
                          <w:lang w:val="en-US"/>
                        </w:rPr>
                        <w:t>Deutsche Bank</w:t>
                      </w:r>
                      <w:r w:rsidRPr="0065198F">
                        <w:rPr>
                          <w:color w:val="FFFFFF" w:themeColor="background1"/>
                          <w:lang w:val="en-US"/>
                        </w:rPr>
                        <w:t xml:space="preserve"> </w:t>
                      </w:r>
                      <w:r w:rsidRPr="00476F1D">
                        <w:rPr>
                          <w:color w:val="FFFFFF" w:themeColor="background1"/>
                          <w:lang w:val="en-US"/>
                        </w:rPr>
                        <w:br/>
                      </w:r>
                      <w:r w:rsidRPr="00476F1D">
                        <w:rPr>
                          <w:rFonts w:asciiTheme="majorHAnsi" w:hAnsiTheme="majorHAnsi"/>
                          <w:color w:val="FFFFFF" w:themeColor="background1"/>
                          <w:sz w:val="28"/>
                          <w:szCs w:val="28"/>
                          <w:lang w:val="en-US"/>
                        </w:rPr>
                        <w:t>Global Sentiment Survey on Europe 2026</w:t>
                      </w:r>
                      <w:r w:rsidRPr="00476F1D">
                        <w:rPr>
                          <w:color w:val="FFFFFF" w:themeColor="background1"/>
                          <w:lang w:val="en-US"/>
                        </w:rPr>
                        <w:br/>
                      </w:r>
                    </w:p>
                    <w:p w:rsidRPr="0065198F" w:rsidR="0065198F" w:rsidP="0065198F" w:rsidRDefault="00FE4830" w14:paraId="252A2D73" w14:textId="77777777">
                      <w:pPr>
                        <w:pStyle w:val="Subtitle"/>
                        <w:numPr>
                          <w:ilvl w:val="0"/>
                          <w:numId w:val="0"/>
                        </w:numPr>
                        <w:rPr>
                          <w:rFonts w:asciiTheme="majorHAnsi" w:hAnsiTheme="majorHAnsi"/>
                          <w:b/>
                          <w:bCs/>
                          <w:color w:val="FFFFFF" w:themeColor="background1"/>
                          <w:sz w:val="48"/>
                          <w:szCs w:val="48"/>
                          <w:lang w:val="en-US"/>
                        </w:rPr>
                      </w:pPr>
                      <w:r w:rsidRPr="00476F1D">
                        <w:rPr>
                          <w:rFonts w:asciiTheme="majorHAnsi" w:hAnsiTheme="majorHAnsi"/>
                          <w:b/>
                          <w:color w:val="FFFFFF" w:themeColor="background1"/>
                          <w:sz w:val="48"/>
                          <w:szCs w:val="48"/>
                          <w:lang w:val="en-US"/>
                        </w:rPr>
                        <w:t>The world has confidence in Europe. Now Europe must deliver</w:t>
                      </w:r>
                      <w:r w:rsidRPr="00476F1D" w:rsidR="00E50D8A">
                        <w:rPr>
                          <w:rFonts w:asciiTheme="majorHAnsi" w:hAnsiTheme="majorHAnsi"/>
                          <w:b/>
                          <w:color w:val="FFFFFF" w:themeColor="background1"/>
                          <w:sz w:val="48"/>
                          <w:szCs w:val="48"/>
                          <w:lang w:val="en-US"/>
                        </w:rPr>
                        <w:t>.</w:t>
                      </w:r>
                    </w:p>
                    <w:p w:rsidRPr="00476F1D" w:rsidR="0065198F" w:rsidP="0065198F" w:rsidRDefault="0065198F" w14:paraId="00CD81F6" w14:textId="1589AE6F">
                      <w:pPr>
                        <w:pStyle w:val="Subtitle"/>
                        <w:numPr>
                          <w:ilvl w:val="0"/>
                          <w:numId w:val="0"/>
                        </w:numPr>
                        <w:rPr>
                          <w:color w:val="FFFFFF" w:themeColor="background1"/>
                          <w:lang w:val="en-US"/>
                        </w:rPr>
                      </w:pPr>
                      <w:r w:rsidRPr="00476F1D">
                        <w:rPr>
                          <w:color w:val="FFFFFF" w:themeColor="background1"/>
                          <w:lang w:val="en-US"/>
                        </w:rPr>
                        <w:t>A global business view of Europe as an investment</w:t>
                      </w:r>
                      <w:r w:rsidR="00025EB9">
                        <w:rPr>
                          <w:color w:val="FFFFFF" w:themeColor="background1"/>
                          <w:lang w:val="en-US"/>
                        </w:rPr>
                        <w:t xml:space="preserve"> destination</w:t>
                      </w:r>
                    </w:p>
                    <w:p w:rsidRPr="00476F1D" w:rsidR="00FE4830" w:rsidP="007B5D4C" w:rsidRDefault="00FE4830" w14:paraId="3CFAADD6" w14:textId="66FF7928">
                      <w:pPr>
                        <w:rPr>
                          <w:rFonts w:asciiTheme="majorHAnsi" w:hAnsiTheme="majorHAnsi"/>
                          <w:b/>
                          <w:color w:val="FFFFFF" w:themeColor="background1"/>
                          <w:sz w:val="48"/>
                          <w:szCs w:val="48"/>
                          <w:lang w:val="en-US"/>
                        </w:rPr>
                      </w:pPr>
                    </w:p>
                    <w:p w:rsidRPr="00476F1D" w:rsidR="00FE4830" w:rsidP="00476F1D" w:rsidRDefault="00FE4830" w14:paraId="77EBCEEB" w14:textId="465B133B">
                      <w:pPr>
                        <w:pStyle w:val="Subtitle"/>
                        <w:numPr>
                          <w:ilvl w:val="0"/>
                          <w:numId w:val="0"/>
                        </w:numPr>
                        <w:rPr>
                          <w:color w:val="FFFFFF" w:themeColor="background1"/>
                          <w:lang w:val="en-US"/>
                        </w:rPr>
                      </w:pPr>
                    </w:p>
                  </w:txbxContent>
                </v:textbox>
                <w10:wrap anchorx="margin"/>
              </v:rect>
            </w:pict>
          </mc:Fallback>
        </mc:AlternateContent>
      </w:r>
      <w:r w:rsidR="00480461" w:rsidRPr="00480461">
        <w:rPr>
          <w:rFonts w:ascii="DeutscheBank" w:hAnsi="DeutscheBank"/>
          <w:noProof/>
          <w:sz w:val="28"/>
          <w:szCs w:val="24"/>
        </w:rPr>
        <mc:AlternateContent>
          <mc:Choice Requires="wps">
            <w:drawing>
              <wp:anchor distT="0" distB="0" distL="114300" distR="114300" simplePos="0" relativeHeight="251658242" behindDoc="0" locked="0" layoutInCell="1" allowOverlap="1" wp14:anchorId="1FA157C5" wp14:editId="46C06BEC">
                <wp:simplePos x="0" y="0"/>
                <wp:positionH relativeFrom="column">
                  <wp:posOffset>5118354</wp:posOffset>
                </wp:positionH>
                <wp:positionV relativeFrom="paragraph">
                  <wp:posOffset>2006905</wp:posOffset>
                </wp:positionV>
                <wp:extent cx="647700" cy="647700"/>
                <wp:effectExtent l="0" t="0" r="0" b="0"/>
                <wp:wrapNone/>
                <wp:docPr id="9" name="Freeform 4" descr="White Deutsche Bank Logo">
                  <a:extLst xmlns:a="http://schemas.openxmlformats.org/drawingml/2006/main">
                    <a:ext uri="{FF2B5EF4-FFF2-40B4-BE49-F238E27FC236}">
                      <a16:creationId xmlns:a16="http://schemas.microsoft.com/office/drawing/2014/main" id="{8FA4242E-64D2-6DD4-10DF-93B6F3134A42}"/>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black">
                        <a:xfrm>
                          <a:off x="0" y="0"/>
                          <a:ext cx="647700" cy="647700"/>
                        </a:xfrm>
                        <a:custGeom>
                          <a:avLst/>
                          <a:gdLst/>
                          <a:ahLst/>
                          <a:cxnLst>
                            <a:cxn ang="0">
                              <a:pos x="2286" y="2285"/>
                            </a:cxn>
                            <a:cxn ang="0">
                              <a:pos x="2286" y="14035"/>
                            </a:cxn>
                            <a:cxn ang="0">
                              <a:pos x="14035" y="14035"/>
                            </a:cxn>
                            <a:cxn ang="0">
                              <a:pos x="14035" y="2285"/>
                            </a:cxn>
                            <a:cxn ang="0">
                              <a:pos x="2286" y="2285"/>
                            </a:cxn>
                            <a:cxn ang="0">
                              <a:pos x="3590" y="12404"/>
                            </a:cxn>
                            <a:cxn ang="0">
                              <a:pos x="6527" y="12404"/>
                            </a:cxn>
                            <a:cxn ang="0">
                              <a:pos x="12730" y="3917"/>
                            </a:cxn>
                            <a:cxn ang="0">
                              <a:pos x="9792" y="3917"/>
                            </a:cxn>
                            <a:cxn ang="0">
                              <a:pos x="3590" y="12404"/>
                            </a:cxn>
                            <a:cxn ang="0">
                              <a:pos x="0" y="0"/>
                            </a:cxn>
                            <a:cxn ang="0">
                              <a:pos x="16320" y="0"/>
                            </a:cxn>
                            <a:cxn ang="0">
                              <a:pos x="16320" y="16320"/>
                            </a:cxn>
                            <a:cxn ang="0">
                              <a:pos x="0" y="16320"/>
                            </a:cxn>
                            <a:cxn ang="0">
                              <a:pos x="0" y="0"/>
                            </a:cxn>
                          </a:cxnLst>
                          <a:rect l="0" t="0" r="r" b="b"/>
                          <a:pathLst>
                            <a:path w="16320" h="16320">
                              <a:moveTo>
                                <a:pt x="2286" y="2285"/>
                              </a:moveTo>
                              <a:lnTo>
                                <a:pt x="2286" y="14035"/>
                              </a:lnTo>
                              <a:lnTo>
                                <a:pt x="14035" y="14035"/>
                              </a:lnTo>
                              <a:lnTo>
                                <a:pt x="14035" y="2285"/>
                              </a:lnTo>
                              <a:lnTo>
                                <a:pt x="2286" y="2285"/>
                              </a:lnTo>
                              <a:close/>
                              <a:moveTo>
                                <a:pt x="3590" y="12404"/>
                              </a:moveTo>
                              <a:lnTo>
                                <a:pt x="6527" y="12404"/>
                              </a:lnTo>
                              <a:lnTo>
                                <a:pt x="12730" y="3917"/>
                              </a:lnTo>
                              <a:lnTo>
                                <a:pt x="9792" y="3917"/>
                              </a:lnTo>
                              <a:lnTo>
                                <a:pt x="3590" y="12404"/>
                              </a:lnTo>
                              <a:close/>
                              <a:moveTo>
                                <a:pt x="0" y="0"/>
                              </a:moveTo>
                              <a:lnTo>
                                <a:pt x="16320" y="0"/>
                              </a:lnTo>
                              <a:lnTo>
                                <a:pt x="16320" y="16320"/>
                              </a:lnTo>
                              <a:lnTo>
                                <a:pt x="0" y="16320"/>
                              </a:lnTo>
                              <a:lnTo>
                                <a:pt x="0" y="0"/>
                              </a:lnTo>
                              <a:close/>
                            </a:path>
                          </a:pathLst>
                        </a:custGeom>
                        <a:solidFill>
                          <a:schemeClr val="bg1"/>
                        </a:solidFill>
                        <a:ln w="9525">
                          <a:noFill/>
                          <a:round/>
                          <a:headEnd/>
                          <a:tailEnd/>
                        </a:ln>
                      </wps:spPr>
                      <wps:bodyPr/>
                    </wps:wsp>
                  </a:graphicData>
                </a:graphic>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42C7E7E0">
              <v:shape id="Freeform 4" style="position:absolute;margin-left:403pt;margin-top:158pt;width:51pt;height:51pt;z-index:251658242;visibility:visible;mso-wrap-style:square;mso-wrap-distance-left:9pt;mso-wrap-distance-top:0;mso-wrap-distance-right:9pt;mso-wrap-distance-bottom:0;mso-position-horizontal:absolute;mso-position-horizontal-relative:text;mso-position-vertical:absolute;mso-position-vertical-relative:text;v-text-anchor:top" alt="White Deutsche Bank Logo" coordsize="16320,16320" o:spid="_x0000_s1026" fillcolor="white [3212]" stroked="f" o:bwmode="black" path="m2286,2285r,11750l14035,14035r,-11750l2286,2285xm3590,12404r2937,l12730,3917r-2938,l3590,12404xm,l16320,r,16320l,1632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" w14:anchorId="41DB29A8">
                <v:path arrowok="t" o:connecttype="custom" o:connectlocs="2286,2285;2286,14035;14035,14035;14035,2285;2286,2285;3590,12404;6527,12404;12730,3917;9792,3917;3590,12404;0,0;16320,0;16320,16320;0,16320;0,0" o:connectangles="0,0,0,0,0,0,0,0,0,0,0,0,0,0,0"/>
                <o:lock v:ext="edit" verticies="t" aspectratio="t"/>
              </v:shape>
            </w:pict>
          </mc:Fallback>
        </mc:AlternateContent>
      </w:r>
      <w:r w:rsidR="00F16B64">
        <w:rPr>
          <w:rFonts w:ascii="DeutscheBank" w:hAnsi="DeutscheBank"/>
          <w:sz w:val="28"/>
          <w:szCs w:val="28"/>
          <w:lang w:val="en-GB"/>
        </w:rPr>
        <w:br w:type="page"/>
      </w:r>
    </w:p>
    <w:sdt>
      <w:sdtPr>
        <w:rPr>
          <w:rFonts w:ascii="Arial" w:eastAsia="Arial" w:hAnsi="Arial" w:cs="Arial"/>
          <w:color w:val="222222"/>
          <w:sz w:val="21"/>
          <w:szCs w:val="21"/>
        </w:rPr>
        <w:id w:val="1958059098"/>
        <w:docPartObj>
          <w:docPartGallery w:val="Table of Contents"/>
          <w:docPartUnique/>
        </w:docPartObj>
      </w:sdtPr>
      <w:sdtEndPr>
        <w:rPr>
          <w:b/>
          <w:bCs/>
        </w:rPr>
      </w:sdtEndPr>
      <w:sdtContent>
        <w:p w14:paraId="417034CD" w14:textId="0260CCFD" w:rsidR="00F16B64" w:rsidRPr="005B06F1" w:rsidRDefault="51D3BE7A" w:rsidP="5ED7D7AD">
          <w:pPr>
            <w:pStyle w:val="TOCHeading"/>
            <w:rPr>
              <w:b/>
              <w:bCs/>
            </w:rPr>
          </w:pPr>
          <w:r w:rsidRPr="5ED7D7AD">
            <w:rPr>
              <w:b/>
              <w:bCs/>
            </w:rPr>
            <w:t>Content</w:t>
          </w:r>
        </w:p>
        <w:p w14:paraId="33009CCC" w14:textId="161FE4B6" w:rsidR="00FF3CF1" w:rsidRDefault="006D28CE">
          <w:pPr>
            <w:pStyle w:val="TOC1"/>
            <w:rPr>
              <w:rFonts w:asciiTheme="minorHAnsi" w:eastAsiaTheme="minorEastAsia" w:hAnsiTheme="minorHAnsi" w:cstheme="minorBidi"/>
              <w:b w:val="0"/>
              <w:bCs w:val="0"/>
              <w:color w:val="auto"/>
              <w:kern w:val="2"/>
              <w:sz w:val="24"/>
              <w:szCs w:val="24"/>
              <w:lang w:val="de-DE"/>
              <w14:ligatures w14:val="standardContextual"/>
            </w:rPr>
          </w:pPr>
          <w:r w:rsidRPr="006D28CE">
            <w:fldChar w:fldCharType="begin"/>
          </w:r>
          <w:r>
            <w:instrText xml:space="preserve"> TOC \o "1-1" \h \z \u </w:instrText>
          </w:r>
          <w:r w:rsidRPr="006D28CE">
            <w:fldChar w:fldCharType="separate"/>
          </w:r>
          <w:hyperlink w:anchor="_Toc240474424" w:history="1">
            <w:r w:rsidR="00FF3CF1" w:rsidRPr="008743A8">
              <w:rPr>
                <w:rStyle w:val="Hyperlink"/>
              </w:rPr>
              <w:t>Key findings at a glance</w:t>
            </w:r>
            <w:r w:rsidR="00FF3CF1">
              <w:rPr>
                <w:webHidden/>
              </w:rPr>
              <w:tab/>
            </w:r>
            <w:r w:rsidR="00FF3CF1">
              <w:rPr>
                <w:webHidden/>
              </w:rPr>
              <w:fldChar w:fldCharType="begin"/>
            </w:r>
            <w:r w:rsidR="00FF3CF1">
              <w:rPr>
                <w:webHidden/>
              </w:rPr>
              <w:instrText xml:space="preserve"> PAGEREF _Toc240474424 \h </w:instrText>
            </w:r>
            <w:r w:rsidR="00FF3CF1">
              <w:rPr>
                <w:webHidden/>
              </w:rPr>
            </w:r>
            <w:r w:rsidR="00FF3CF1">
              <w:rPr>
                <w:webHidden/>
              </w:rPr>
              <w:fldChar w:fldCharType="separate"/>
            </w:r>
            <w:r w:rsidR="00D51A9A">
              <w:rPr>
                <w:webHidden/>
              </w:rPr>
              <w:t>3</w:t>
            </w:r>
            <w:r w:rsidR="00FF3CF1">
              <w:rPr>
                <w:webHidden/>
              </w:rPr>
              <w:fldChar w:fldCharType="end"/>
            </w:r>
          </w:hyperlink>
        </w:p>
        <w:p w14:paraId="398C10E8" w14:textId="27BC9E8B" w:rsidR="00FF3CF1" w:rsidRDefault="00FF3CF1">
          <w:pPr>
            <w:pStyle w:val="TOC1"/>
            <w:rPr>
              <w:rFonts w:asciiTheme="minorHAnsi" w:eastAsiaTheme="minorEastAsia" w:hAnsiTheme="minorHAnsi" w:cstheme="minorBidi"/>
              <w:b w:val="0"/>
              <w:bCs w:val="0"/>
              <w:color w:val="auto"/>
              <w:kern w:val="2"/>
              <w:sz w:val="24"/>
              <w:szCs w:val="24"/>
              <w:lang w:val="de-DE"/>
              <w14:ligatures w14:val="standardContextual"/>
            </w:rPr>
          </w:pPr>
          <w:hyperlink w:anchor="_Toc240474425" w:history="1">
            <w:r w:rsidRPr="008743A8">
              <w:rPr>
                <w:rStyle w:val="Hyperlink"/>
              </w:rPr>
              <w:t>Methodology</w:t>
            </w:r>
            <w:r>
              <w:rPr>
                <w:webHidden/>
              </w:rPr>
              <w:tab/>
            </w:r>
            <w:r>
              <w:rPr>
                <w:webHidden/>
              </w:rPr>
              <w:fldChar w:fldCharType="begin"/>
            </w:r>
            <w:r>
              <w:rPr>
                <w:webHidden/>
              </w:rPr>
              <w:instrText xml:space="preserve"> PAGEREF _Toc240474425 \h </w:instrText>
            </w:r>
            <w:r>
              <w:rPr>
                <w:webHidden/>
              </w:rPr>
            </w:r>
            <w:r>
              <w:rPr>
                <w:webHidden/>
              </w:rPr>
              <w:fldChar w:fldCharType="separate"/>
            </w:r>
            <w:r w:rsidR="00D51A9A">
              <w:rPr>
                <w:webHidden/>
              </w:rPr>
              <w:t>4</w:t>
            </w:r>
            <w:r>
              <w:rPr>
                <w:webHidden/>
              </w:rPr>
              <w:fldChar w:fldCharType="end"/>
            </w:r>
          </w:hyperlink>
        </w:p>
        <w:p w14:paraId="4D71631B" w14:textId="4BF65844" w:rsidR="00FF3CF1" w:rsidRDefault="00FF3CF1">
          <w:pPr>
            <w:pStyle w:val="TOC1"/>
            <w:rPr>
              <w:rFonts w:asciiTheme="minorHAnsi" w:eastAsiaTheme="minorEastAsia" w:hAnsiTheme="minorHAnsi" w:cstheme="minorBidi"/>
              <w:b w:val="0"/>
              <w:bCs w:val="0"/>
              <w:color w:val="auto"/>
              <w:kern w:val="2"/>
              <w:sz w:val="24"/>
              <w:szCs w:val="24"/>
              <w:lang w:val="de-DE"/>
              <w14:ligatures w14:val="standardContextual"/>
            </w:rPr>
          </w:pPr>
          <w:hyperlink w:anchor="_Toc240474426" w:history="1">
            <w:r w:rsidRPr="008743A8">
              <w:rPr>
                <w:rStyle w:val="Hyperlink"/>
              </w:rPr>
              <w:t>Detailed survey findings</w:t>
            </w:r>
            <w:r>
              <w:rPr>
                <w:webHidden/>
              </w:rPr>
              <w:tab/>
            </w:r>
            <w:r>
              <w:rPr>
                <w:webHidden/>
              </w:rPr>
              <w:fldChar w:fldCharType="begin"/>
            </w:r>
            <w:r>
              <w:rPr>
                <w:webHidden/>
              </w:rPr>
              <w:instrText xml:space="preserve"> PAGEREF _Toc240474426 \h </w:instrText>
            </w:r>
            <w:r>
              <w:rPr>
                <w:webHidden/>
              </w:rPr>
            </w:r>
            <w:r>
              <w:rPr>
                <w:webHidden/>
              </w:rPr>
              <w:fldChar w:fldCharType="separate"/>
            </w:r>
            <w:r w:rsidR="00D51A9A">
              <w:rPr>
                <w:webHidden/>
              </w:rPr>
              <w:t>5</w:t>
            </w:r>
            <w:r>
              <w:rPr>
                <w:webHidden/>
              </w:rPr>
              <w:fldChar w:fldCharType="end"/>
            </w:r>
          </w:hyperlink>
        </w:p>
        <w:p w14:paraId="11F3DFF3" w14:textId="0BF7624C" w:rsidR="00FF3CF1" w:rsidRDefault="00FF3CF1">
          <w:pPr>
            <w:pStyle w:val="TOC1"/>
            <w:rPr>
              <w:rFonts w:asciiTheme="minorHAnsi" w:eastAsiaTheme="minorEastAsia" w:hAnsiTheme="minorHAnsi" w:cstheme="minorBidi"/>
              <w:b w:val="0"/>
              <w:bCs w:val="0"/>
              <w:color w:val="auto"/>
              <w:kern w:val="2"/>
              <w:sz w:val="24"/>
              <w:szCs w:val="24"/>
              <w:lang w:val="de-DE"/>
              <w14:ligatures w14:val="standardContextual"/>
            </w:rPr>
          </w:pPr>
          <w:hyperlink w:anchor="_Toc240474427" w:history="1">
            <w:r w:rsidRPr="008743A8">
              <w:rPr>
                <w:rStyle w:val="Hyperlink"/>
              </w:rPr>
              <w:t>1</w:t>
            </w:r>
            <w:r>
              <w:rPr>
                <w:rFonts w:asciiTheme="minorHAnsi" w:eastAsiaTheme="minorEastAsia" w:hAnsiTheme="minorHAnsi" w:cstheme="minorBidi"/>
                <w:b w:val="0"/>
                <w:bCs w:val="0"/>
                <w:color w:val="auto"/>
                <w:kern w:val="2"/>
                <w:sz w:val="24"/>
                <w:szCs w:val="24"/>
                <w:lang w:val="de-DE"/>
                <w14:ligatures w14:val="standardContextual"/>
              </w:rPr>
              <w:tab/>
            </w:r>
            <w:r w:rsidRPr="008743A8">
              <w:rPr>
                <w:rStyle w:val="Hyperlink"/>
              </w:rPr>
              <w:t>Europe offers a strong investment case</w:t>
            </w:r>
            <w:r>
              <w:rPr>
                <w:webHidden/>
              </w:rPr>
              <w:tab/>
            </w:r>
            <w:r>
              <w:rPr>
                <w:webHidden/>
              </w:rPr>
              <w:fldChar w:fldCharType="begin"/>
            </w:r>
            <w:r>
              <w:rPr>
                <w:webHidden/>
              </w:rPr>
              <w:instrText xml:space="preserve"> PAGEREF _Toc240474427 \h </w:instrText>
            </w:r>
            <w:r>
              <w:rPr>
                <w:webHidden/>
              </w:rPr>
            </w:r>
            <w:r>
              <w:rPr>
                <w:webHidden/>
              </w:rPr>
              <w:fldChar w:fldCharType="separate"/>
            </w:r>
            <w:r w:rsidR="00D51A9A">
              <w:rPr>
                <w:webHidden/>
              </w:rPr>
              <w:t>5</w:t>
            </w:r>
            <w:r>
              <w:rPr>
                <w:webHidden/>
              </w:rPr>
              <w:fldChar w:fldCharType="end"/>
            </w:r>
          </w:hyperlink>
        </w:p>
        <w:p w14:paraId="53E31849" w14:textId="2DD03F28" w:rsidR="00FF3CF1" w:rsidRDefault="00FF3CF1">
          <w:pPr>
            <w:pStyle w:val="TOC1"/>
            <w:rPr>
              <w:rFonts w:asciiTheme="minorHAnsi" w:eastAsiaTheme="minorEastAsia" w:hAnsiTheme="minorHAnsi" w:cstheme="minorBidi"/>
              <w:b w:val="0"/>
              <w:bCs w:val="0"/>
              <w:color w:val="auto"/>
              <w:kern w:val="2"/>
              <w:sz w:val="24"/>
              <w:szCs w:val="24"/>
              <w:lang w:val="de-DE"/>
              <w14:ligatures w14:val="standardContextual"/>
            </w:rPr>
          </w:pPr>
          <w:hyperlink w:anchor="_Toc240474428" w:history="1">
            <w:r w:rsidRPr="008743A8">
              <w:rPr>
                <w:rStyle w:val="Hyperlink"/>
              </w:rPr>
              <w:t>2</w:t>
            </w:r>
            <w:r>
              <w:rPr>
                <w:rFonts w:asciiTheme="minorHAnsi" w:eastAsiaTheme="minorEastAsia" w:hAnsiTheme="minorHAnsi" w:cstheme="minorBidi"/>
                <w:b w:val="0"/>
                <w:bCs w:val="0"/>
                <w:color w:val="auto"/>
                <w:kern w:val="2"/>
                <w:sz w:val="24"/>
                <w:szCs w:val="24"/>
                <w:lang w:val="de-DE"/>
                <w14:ligatures w14:val="standardContextual"/>
              </w:rPr>
              <w:tab/>
            </w:r>
            <w:r w:rsidRPr="008743A8">
              <w:rPr>
                <w:rStyle w:val="Hyperlink"/>
              </w:rPr>
              <w:t>Confidence in Europe is translating into investment plans</w:t>
            </w:r>
            <w:r>
              <w:rPr>
                <w:webHidden/>
              </w:rPr>
              <w:tab/>
            </w:r>
            <w:r>
              <w:rPr>
                <w:webHidden/>
              </w:rPr>
              <w:fldChar w:fldCharType="begin"/>
            </w:r>
            <w:r>
              <w:rPr>
                <w:webHidden/>
              </w:rPr>
              <w:instrText xml:space="preserve"> PAGEREF _Toc240474428 \h </w:instrText>
            </w:r>
            <w:r>
              <w:rPr>
                <w:webHidden/>
              </w:rPr>
            </w:r>
            <w:r>
              <w:rPr>
                <w:webHidden/>
              </w:rPr>
              <w:fldChar w:fldCharType="separate"/>
            </w:r>
            <w:r w:rsidR="00D51A9A">
              <w:rPr>
                <w:webHidden/>
              </w:rPr>
              <w:t>9</w:t>
            </w:r>
            <w:r>
              <w:rPr>
                <w:webHidden/>
              </w:rPr>
              <w:fldChar w:fldCharType="end"/>
            </w:r>
          </w:hyperlink>
        </w:p>
        <w:p w14:paraId="4A278C66" w14:textId="71BDC313" w:rsidR="00FF3CF1" w:rsidRDefault="00FF3CF1">
          <w:pPr>
            <w:pStyle w:val="TOC1"/>
            <w:rPr>
              <w:rFonts w:asciiTheme="minorHAnsi" w:eastAsiaTheme="minorEastAsia" w:hAnsiTheme="minorHAnsi" w:cstheme="minorBidi"/>
              <w:b w:val="0"/>
              <w:bCs w:val="0"/>
              <w:color w:val="auto"/>
              <w:kern w:val="2"/>
              <w:sz w:val="24"/>
              <w:szCs w:val="24"/>
              <w:lang w:val="de-DE"/>
              <w14:ligatures w14:val="standardContextual"/>
            </w:rPr>
          </w:pPr>
          <w:hyperlink w:anchor="_Toc240474429" w:history="1">
            <w:r w:rsidRPr="008743A8">
              <w:rPr>
                <w:rStyle w:val="Hyperlink"/>
              </w:rPr>
              <w:t>3</w:t>
            </w:r>
            <w:r>
              <w:rPr>
                <w:rFonts w:asciiTheme="minorHAnsi" w:eastAsiaTheme="minorEastAsia" w:hAnsiTheme="minorHAnsi" w:cstheme="minorBidi"/>
                <w:b w:val="0"/>
                <w:bCs w:val="0"/>
                <w:color w:val="auto"/>
                <w:kern w:val="2"/>
                <w:sz w:val="24"/>
                <w:szCs w:val="24"/>
                <w:lang w:val="de-DE"/>
                <w14:ligatures w14:val="standardContextual"/>
              </w:rPr>
              <w:tab/>
            </w:r>
            <w:r w:rsidRPr="008743A8">
              <w:rPr>
                <w:rStyle w:val="Hyperlink"/>
              </w:rPr>
              <w:t>Turning Europe’s strengths into action</w:t>
            </w:r>
            <w:r>
              <w:rPr>
                <w:webHidden/>
              </w:rPr>
              <w:tab/>
            </w:r>
            <w:r>
              <w:rPr>
                <w:webHidden/>
              </w:rPr>
              <w:fldChar w:fldCharType="begin"/>
            </w:r>
            <w:r>
              <w:rPr>
                <w:webHidden/>
              </w:rPr>
              <w:instrText xml:space="preserve"> PAGEREF _Toc240474429 \h </w:instrText>
            </w:r>
            <w:r>
              <w:rPr>
                <w:webHidden/>
              </w:rPr>
            </w:r>
            <w:r>
              <w:rPr>
                <w:webHidden/>
              </w:rPr>
              <w:fldChar w:fldCharType="separate"/>
            </w:r>
            <w:r w:rsidR="00D51A9A">
              <w:rPr>
                <w:webHidden/>
              </w:rPr>
              <w:t>12</w:t>
            </w:r>
            <w:r>
              <w:rPr>
                <w:webHidden/>
              </w:rPr>
              <w:fldChar w:fldCharType="end"/>
            </w:r>
          </w:hyperlink>
        </w:p>
        <w:p w14:paraId="6A4203C3" w14:textId="2AE7510C" w:rsidR="00FF3CF1" w:rsidRDefault="00FF3CF1">
          <w:pPr>
            <w:pStyle w:val="TOC1"/>
            <w:rPr>
              <w:rFonts w:asciiTheme="minorHAnsi" w:eastAsiaTheme="minorEastAsia" w:hAnsiTheme="minorHAnsi" w:cstheme="minorBidi"/>
              <w:b w:val="0"/>
              <w:bCs w:val="0"/>
              <w:color w:val="auto"/>
              <w:kern w:val="2"/>
              <w:sz w:val="24"/>
              <w:szCs w:val="24"/>
              <w:lang w:val="de-DE"/>
              <w14:ligatures w14:val="standardContextual"/>
            </w:rPr>
          </w:pPr>
          <w:hyperlink w:anchor="_Toc240474430" w:history="1">
            <w:r w:rsidRPr="008743A8">
              <w:rPr>
                <w:rStyle w:val="Hyperlink"/>
              </w:rPr>
              <w:t>4</w:t>
            </w:r>
            <w:r>
              <w:rPr>
                <w:rFonts w:asciiTheme="minorHAnsi" w:eastAsiaTheme="minorEastAsia" w:hAnsiTheme="minorHAnsi" w:cstheme="minorBidi"/>
                <w:b w:val="0"/>
                <w:bCs w:val="0"/>
                <w:color w:val="auto"/>
                <w:kern w:val="2"/>
                <w:sz w:val="24"/>
                <w:szCs w:val="24"/>
                <w:lang w:val="de-DE"/>
                <w14:ligatures w14:val="standardContextual"/>
              </w:rPr>
              <w:tab/>
            </w:r>
            <w:r w:rsidRPr="008743A8">
              <w:rPr>
                <w:rStyle w:val="Hyperlink"/>
              </w:rPr>
              <w:t>Germany leads the European field</w:t>
            </w:r>
            <w:r>
              <w:rPr>
                <w:webHidden/>
              </w:rPr>
              <w:tab/>
            </w:r>
            <w:r>
              <w:rPr>
                <w:webHidden/>
              </w:rPr>
              <w:fldChar w:fldCharType="begin"/>
            </w:r>
            <w:r>
              <w:rPr>
                <w:webHidden/>
              </w:rPr>
              <w:instrText xml:space="preserve"> PAGEREF _Toc240474430 \h </w:instrText>
            </w:r>
            <w:r>
              <w:rPr>
                <w:webHidden/>
              </w:rPr>
            </w:r>
            <w:r>
              <w:rPr>
                <w:webHidden/>
              </w:rPr>
              <w:fldChar w:fldCharType="separate"/>
            </w:r>
            <w:r w:rsidR="00D51A9A">
              <w:rPr>
                <w:webHidden/>
              </w:rPr>
              <w:t>15</w:t>
            </w:r>
            <w:r>
              <w:rPr>
                <w:webHidden/>
              </w:rPr>
              <w:fldChar w:fldCharType="end"/>
            </w:r>
          </w:hyperlink>
        </w:p>
        <w:p w14:paraId="01974076" w14:textId="7EC19C5D" w:rsidR="00FF3CF1" w:rsidRDefault="00FF3CF1">
          <w:pPr>
            <w:pStyle w:val="TOC1"/>
            <w:rPr>
              <w:rFonts w:asciiTheme="minorHAnsi" w:eastAsiaTheme="minorEastAsia" w:hAnsiTheme="minorHAnsi" w:cstheme="minorBidi"/>
              <w:b w:val="0"/>
              <w:bCs w:val="0"/>
              <w:color w:val="auto"/>
              <w:kern w:val="2"/>
              <w:sz w:val="24"/>
              <w:szCs w:val="24"/>
              <w:lang w:val="de-DE"/>
              <w14:ligatures w14:val="standardContextual"/>
            </w:rPr>
          </w:pPr>
          <w:hyperlink w:anchor="_Toc240474431" w:history="1">
            <w:r w:rsidRPr="008743A8">
              <w:rPr>
                <w:rStyle w:val="Hyperlink"/>
              </w:rPr>
              <w:t>5</w:t>
            </w:r>
            <w:r>
              <w:rPr>
                <w:rFonts w:asciiTheme="minorHAnsi" w:eastAsiaTheme="minorEastAsia" w:hAnsiTheme="minorHAnsi" w:cstheme="minorBidi"/>
                <w:b w:val="0"/>
                <w:bCs w:val="0"/>
                <w:color w:val="auto"/>
                <w:kern w:val="2"/>
                <w:sz w:val="24"/>
                <w:szCs w:val="24"/>
                <w:lang w:val="de-DE"/>
                <w14:ligatures w14:val="standardContextual"/>
              </w:rPr>
              <w:tab/>
            </w:r>
            <w:r w:rsidRPr="008743A8">
              <w:rPr>
                <w:rStyle w:val="Hyperlink"/>
              </w:rPr>
              <w:t>Priorities for action in Europe</w:t>
            </w:r>
            <w:r>
              <w:rPr>
                <w:webHidden/>
              </w:rPr>
              <w:tab/>
            </w:r>
            <w:r>
              <w:rPr>
                <w:webHidden/>
              </w:rPr>
              <w:fldChar w:fldCharType="begin"/>
            </w:r>
            <w:r>
              <w:rPr>
                <w:webHidden/>
              </w:rPr>
              <w:instrText xml:space="preserve"> PAGEREF _Toc240474431 \h </w:instrText>
            </w:r>
            <w:r>
              <w:rPr>
                <w:webHidden/>
              </w:rPr>
            </w:r>
            <w:r>
              <w:rPr>
                <w:webHidden/>
              </w:rPr>
              <w:fldChar w:fldCharType="separate"/>
            </w:r>
            <w:r w:rsidR="00D51A9A">
              <w:rPr>
                <w:webHidden/>
              </w:rPr>
              <w:t>17</w:t>
            </w:r>
            <w:r>
              <w:rPr>
                <w:webHidden/>
              </w:rPr>
              <w:fldChar w:fldCharType="end"/>
            </w:r>
          </w:hyperlink>
        </w:p>
        <w:p w14:paraId="2290A292" w14:textId="4CEFF2BB" w:rsidR="00FF3CF1" w:rsidRDefault="00FF3CF1">
          <w:pPr>
            <w:pStyle w:val="TOC1"/>
            <w:rPr>
              <w:rFonts w:asciiTheme="minorHAnsi" w:eastAsiaTheme="minorEastAsia" w:hAnsiTheme="minorHAnsi" w:cstheme="minorBidi"/>
              <w:b w:val="0"/>
              <w:bCs w:val="0"/>
              <w:color w:val="auto"/>
              <w:kern w:val="2"/>
              <w:sz w:val="24"/>
              <w:szCs w:val="24"/>
              <w:lang w:val="de-DE"/>
              <w14:ligatures w14:val="standardContextual"/>
            </w:rPr>
          </w:pPr>
          <w:hyperlink w:anchor="_Toc240474432" w:history="1">
            <w:r w:rsidRPr="008743A8">
              <w:rPr>
                <w:rStyle w:val="Hyperlink"/>
              </w:rPr>
              <w:t>6</w:t>
            </w:r>
            <w:r>
              <w:rPr>
                <w:rFonts w:asciiTheme="minorHAnsi" w:eastAsiaTheme="minorEastAsia" w:hAnsiTheme="minorHAnsi" w:cstheme="minorBidi"/>
                <w:b w:val="0"/>
                <w:bCs w:val="0"/>
                <w:color w:val="auto"/>
                <w:kern w:val="2"/>
                <w:sz w:val="24"/>
                <w:szCs w:val="24"/>
                <w:lang w:val="de-DE"/>
                <w14:ligatures w14:val="standardContextual"/>
              </w:rPr>
              <w:tab/>
            </w:r>
            <w:r w:rsidRPr="008743A8">
              <w:rPr>
                <w:rStyle w:val="Hyperlink"/>
              </w:rPr>
              <w:t>Europe has yet to realise the full benefits of the Single Market</w:t>
            </w:r>
            <w:r>
              <w:rPr>
                <w:webHidden/>
              </w:rPr>
              <w:tab/>
            </w:r>
            <w:r>
              <w:rPr>
                <w:webHidden/>
              </w:rPr>
              <w:fldChar w:fldCharType="begin"/>
            </w:r>
            <w:r>
              <w:rPr>
                <w:webHidden/>
              </w:rPr>
              <w:instrText xml:space="preserve"> PAGEREF _Toc240474432 \h </w:instrText>
            </w:r>
            <w:r>
              <w:rPr>
                <w:webHidden/>
              </w:rPr>
            </w:r>
            <w:r>
              <w:rPr>
                <w:webHidden/>
              </w:rPr>
              <w:fldChar w:fldCharType="separate"/>
            </w:r>
            <w:r w:rsidR="00D51A9A">
              <w:rPr>
                <w:webHidden/>
              </w:rPr>
              <w:t>18</w:t>
            </w:r>
            <w:r>
              <w:rPr>
                <w:webHidden/>
              </w:rPr>
              <w:fldChar w:fldCharType="end"/>
            </w:r>
          </w:hyperlink>
        </w:p>
        <w:p w14:paraId="21B97B42" w14:textId="24C532C5" w:rsidR="00FF3CF1" w:rsidRDefault="00FF3CF1">
          <w:pPr>
            <w:pStyle w:val="TOC1"/>
            <w:rPr>
              <w:rFonts w:asciiTheme="minorHAnsi" w:eastAsiaTheme="minorEastAsia" w:hAnsiTheme="minorHAnsi" w:cstheme="minorBidi"/>
              <w:b w:val="0"/>
              <w:bCs w:val="0"/>
              <w:color w:val="auto"/>
              <w:kern w:val="2"/>
              <w:sz w:val="24"/>
              <w:szCs w:val="24"/>
              <w:lang w:val="de-DE"/>
              <w14:ligatures w14:val="standardContextual"/>
            </w:rPr>
          </w:pPr>
          <w:hyperlink w:anchor="_Toc240474433" w:history="1">
            <w:r w:rsidRPr="008743A8">
              <w:rPr>
                <w:rStyle w:val="Hyperlink"/>
              </w:rPr>
              <w:t>7</w:t>
            </w:r>
            <w:r>
              <w:rPr>
                <w:rFonts w:asciiTheme="minorHAnsi" w:eastAsiaTheme="minorEastAsia" w:hAnsiTheme="minorHAnsi" w:cstheme="minorBidi"/>
                <w:b w:val="0"/>
                <w:bCs w:val="0"/>
                <w:color w:val="auto"/>
                <w:kern w:val="2"/>
                <w:sz w:val="24"/>
                <w:szCs w:val="24"/>
                <w:lang w:val="de-DE"/>
                <w14:ligatures w14:val="standardContextual"/>
              </w:rPr>
              <w:tab/>
            </w:r>
            <w:r w:rsidRPr="008743A8">
              <w:rPr>
                <w:rStyle w:val="Hyperlink"/>
              </w:rPr>
              <w:t>Europe can strengthen its AI competitiveness</w:t>
            </w:r>
            <w:r>
              <w:rPr>
                <w:webHidden/>
              </w:rPr>
              <w:tab/>
            </w:r>
            <w:r>
              <w:rPr>
                <w:webHidden/>
              </w:rPr>
              <w:fldChar w:fldCharType="begin"/>
            </w:r>
            <w:r>
              <w:rPr>
                <w:webHidden/>
              </w:rPr>
              <w:instrText xml:space="preserve"> PAGEREF _Toc240474433 \h </w:instrText>
            </w:r>
            <w:r>
              <w:rPr>
                <w:webHidden/>
              </w:rPr>
            </w:r>
            <w:r>
              <w:rPr>
                <w:webHidden/>
              </w:rPr>
              <w:fldChar w:fldCharType="separate"/>
            </w:r>
            <w:r w:rsidR="00D51A9A">
              <w:rPr>
                <w:webHidden/>
              </w:rPr>
              <w:t>21</w:t>
            </w:r>
            <w:r>
              <w:rPr>
                <w:webHidden/>
              </w:rPr>
              <w:fldChar w:fldCharType="end"/>
            </w:r>
          </w:hyperlink>
        </w:p>
        <w:p w14:paraId="63BA4524" w14:textId="02FDB320" w:rsidR="00FF3CF1" w:rsidRDefault="00FF3CF1">
          <w:pPr>
            <w:pStyle w:val="TOC1"/>
            <w:rPr>
              <w:rFonts w:asciiTheme="minorHAnsi" w:eastAsiaTheme="minorEastAsia" w:hAnsiTheme="minorHAnsi" w:cstheme="minorBidi"/>
              <w:b w:val="0"/>
              <w:bCs w:val="0"/>
              <w:color w:val="auto"/>
              <w:kern w:val="2"/>
              <w:sz w:val="24"/>
              <w:szCs w:val="24"/>
              <w:lang w:val="de-DE"/>
              <w14:ligatures w14:val="standardContextual"/>
            </w:rPr>
          </w:pPr>
          <w:hyperlink w:anchor="_Toc240474434" w:history="1">
            <w:r w:rsidRPr="008743A8">
              <w:rPr>
                <w:rStyle w:val="Hyperlink"/>
              </w:rPr>
              <w:t>8</w:t>
            </w:r>
            <w:r>
              <w:rPr>
                <w:rFonts w:asciiTheme="minorHAnsi" w:eastAsiaTheme="minorEastAsia" w:hAnsiTheme="minorHAnsi" w:cstheme="minorBidi"/>
                <w:b w:val="0"/>
                <w:bCs w:val="0"/>
                <w:color w:val="auto"/>
                <w:kern w:val="2"/>
                <w:sz w:val="24"/>
                <w:szCs w:val="24"/>
                <w:lang w:val="de-DE"/>
                <w14:ligatures w14:val="standardContextual"/>
              </w:rPr>
              <w:tab/>
            </w:r>
            <w:r w:rsidRPr="008743A8">
              <w:rPr>
                <w:rStyle w:val="Hyperlink"/>
              </w:rPr>
              <w:t>European banks are well placed to support investment</w:t>
            </w:r>
            <w:r>
              <w:rPr>
                <w:webHidden/>
              </w:rPr>
              <w:tab/>
            </w:r>
            <w:r>
              <w:rPr>
                <w:webHidden/>
              </w:rPr>
              <w:fldChar w:fldCharType="begin"/>
            </w:r>
            <w:r>
              <w:rPr>
                <w:webHidden/>
              </w:rPr>
              <w:instrText xml:space="preserve"> PAGEREF _Toc240474434 \h </w:instrText>
            </w:r>
            <w:r>
              <w:rPr>
                <w:webHidden/>
              </w:rPr>
            </w:r>
            <w:r>
              <w:rPr>
                <w:webHidden/>
              </w:rPr>
              <w:fldChar w:fldCharType="separate"/>
            </w:r>
            <w:r w:rsidR="00D51A9A">
              <w:rPr>
                <w:webHidden/>
              </w:rPr>
              <w:t>23</w:t>
            </w:r>
            <w:r>
              <w:rPr>
                <w:webHidden/>
              </w:rPr>
              <w:fldChar w:fldCharType="end"/>
            </w:r>
          </w:hyperlink>
        </w:p>
        <w:p w14:paraId="7BFB5413" w14:textId="3D3C7E02" w:rsidR="00FF3CF1" w:rsidRDefault="00FF3CF1">
          <w:pPr>
            <w:pStyle w:val="TOC1"/>
            <w:rPr>
              <w:rFonts w:asciiTheme="minorHAnsi" w:eastAsiaTheme="minorEastAsia" w:hAnsiTheme="minorHAnsi" w:cstheme="minorBidi"/>
              <w:b w:val="0"/>
              <w:bCs w:val="0"/>
              <w:color w:val="auto"/>
              <w:kern w:val="2"/>
              <w:sz w:val="24"/>
              <w:szCs w:val="24"/>
              <w:lang w:val="de-DE"/>
              <w14:ligatures w14:val="standardContextual"/>
            </w:rPr>
          </w:pPr>
          <w:hyperlink w:anchor="_Toc240474435" w:history="1">
            <w:r w:rsidRPr="008743A8">
              <w:rPr>
                <w:rStyle w:val="Hyperlink"/>
              </w:rPr>
              <w:t>Summary: What the results mean for Europe</w:t>
            </w:r>
            <w:r>
              <w:rPr>
                <w:webHidden/>
              </w:rPr>
              <w:tab/>
            </w:r>
            <w:r>
              <w:rPr>
                <w:webHidden/>
              </w:rPr>
              <w:fldChar w:fldCharType="begin"/>
            </w:r>
            <w:r>
              <w:rPr>
                <w:webHidden/>
              </w:rPr>
              <w:instrText xml:space="preserve"> PAGEREF _Toc240474435 \h </w:instrText>
            </w:r>
            <w:r>
              <w:rPr>
                <w:webHidden/>
              </w:rPr>
            </w:r>
            <w:r>
              <w:rPr>
                <w:webHidden/>
              </w:rPr>
              <w:fldChar w:fldCharType="separate"/>
            </w:r>
            <w:r w:rsidR="00D51A9A">
              <w:rPr>
                <w:webHidden/>
              </w:rPr>
              <w:t>25</w:t>
            </w:r>
            <w:r>
              <w:rPr>
                <w:webHidden/>
              </w:rPr>
              <w:fldChar w:fldCharType="end"/>
            </w:r>
          </w:hyperlink>
        </w:p>
        <w:p w14:paraId="08A67FE8" w14:textId="73D544E6" w:rsidR="00F16B64" w:rsidRDefault="006D28CE">
          <w:r w:rsidRPr="006D28CE">
            <w:rPr>
              <w:color w:val="1E2A78" w:themeColor="accent1"/>
            </w:rPr>
            <w:fldChar w:fldCharType="end"/>
          </w:r>
        </w:p>
      </w:sdtContent>
    </w:sdt>
    <w:p w14:paraId="2CABD246" w14:textId="135F5FC9" w:rsidR="00C52465" w:rsidRDefault="00C52465">
      <w:pPr>
        <w:spacing w:after="160" w:line="24" w:lineRule="auto"/>
        <w:rPr>
          <w:rFonts w:ascii="DeutscheBank" w:hAnsi="DeutscheBank"/>
          <w:sz w:val="28"/>
          <w:szCs w:val="28"/>
          <w:lang w:val="en-GB"/>
        </w:rPr>
      </w:pPr>
    </w:p>
    <w:p w14:paraId="139DB016" w14:textId="77777777" w:rsidR="00476F1D" w:rsidRDefault="00476F1D">
      <w:pPr>
        <w:spacing w:after="160" w:line="24" w:lineRule="auto"/>
        <w:rPr>
          <w:rFonts w:ascii="DeutscheBank" w:hAnsi="DeutscheBank"/>
          <w:sz w:val="28"/>
          <w:szCs w:val="28"/>
          <w:lang w:val="en-GB"/>
        </w:rPr>
      </w:pPr>
    </w:p>
    <w:p w14:paraId="2425AE26" w14:textId="77777777" w:rsidR="00476F1D" w:rsidRDefault="00476F1D" w:rsidP="00476F1D">
      <w:pPr>
        <w:spacing w:after="160" w:line="24" w:lineRule="auto"/>
        <w:rPr>
          <w:rFonts w:ascii="DeutscheBank" w:hAnsi="DeutscheBank"/>
          <w:sz w:val="28"/>
          <w:szCs w:val="28"/>
          <w:lang w:val="en-GB"/>
        </w:rPr>
      </w:pPr>
    </w:p>
    <w:p w14:paraId="5496B7FA" w14:textId="62873977" w:rsidR="00476F1D" w:rsidRPr="00FB2743" w:rsidRDefault="00476F1D" w:rsidP="041E5C19">
      <w:pPr>
        <w:pBdr>
          <w:left w:val="single" w:sz="20" w:space="5" w:color="34A6DC"/>
        </w:pBdr>
        <w:shd w:val="clear" w:color="auto" w:fill="EAF2FB"/>
        <w:spacing w:before="120" w:after="200" w:line="300" w:lineRule="auto"/>
        <w:ind w:left="200" w:right="160"/>
        <w:rPr>
          <w:rFonts w:ascii="DeutscheBank" w:hAnsi="DeutscheBank"/>
          <w:b/>
          <w:bCs/>
          <w:sz w:val="20"/>
          <w:szCs w:val="20"/>
          <w:lang w:val="en-US"/>
        </w:rPr>
      </w:pPr>
      <w:r w:rsidRPr="041E5C19">
        <w:rPr>
          <w:rFonts w:ascii="DeutscheBank" w:hAnsi="DeutscheBank"/>
          <w:b/>
          <w:bCs/>
          <w:sz w:val="20"/>
          <w:szCs w:val="20"/>
          <w:lang w:val="en-US"/>
        </w:rPr>
        <w:t xml:space="preserve">“The global economy has confidence in Europe. That is the key message of our survey, which confirms what we see every day in our business with clients around the world. Business leaders view Europe as an attractive investment destination, a growth market and a hub for innovation. At the same time, the survey shows that Europe still has ground to make up when it comes to competitiveness and business conditions. This is why decisive reforms are now needed to unlock stronger growth and encourage greater investment." Alexander von zur Mühlen, Member of the </w:t>
      </w:r>
      <w:r w:rsidR="5D2431E6" w:rsidRPr="041E5C19">
        <w:rPr>
          <w:rFonts w:ascii="DeutscheBank" w:hAnsi="DeutscheBank"/>
          <w:b/>
          <w:bCs/>
          <w:sz w:val="20"/>
          <w:szCs w:val="20"/>
          <w:lang w:val="en-US"/>
        </w:rPr>
        <w:t xml:space="preserve">Management </w:t>
      </w:r>
      <w:r w:rsidRPr="041E5C19">
        <w:rPr>
          <w:rFonts w:ascii="DeutscheBank" w:hAnsi="DeutscheBank"/>
          <w:b/>
          <w:bCs/>
          <w:sz w:val="20"/>
          <w:szCs w:val="20"/>
          <w:lang w:val="en-US"/>
        </w:rPr>
        <w:t>Board</w:t>
      </w:r>
      <w:r w:rsidR="6F0DDFB1" w:rsidRPr="041E5C19">
        <w:rPr>
          <w:rFonts w:ascii="DeutscheBank" w:hAnsi="DeutscheBank"/>
          <w:b/>
          <w:bCs/>
          <w:sz w:val="20"/>
          <w:szCs w:val="20"/>
          <w:lang w:val="en-US"/>
        </w:rPr>
        <w:t xml:space="preserve"> of</w:t>
      </w:r>
      <w:r w:rsidRPr="041E5C19">
        <w:rPr>
          <w:rFonts w:ascii="DeutscheBank" w:hAnsi="DeutscheBank"/>
          <w:b/>
          <w:bCs/>
          <w:sz w:val="20"/>
          <w:szCs w:val="20"/>
          <w:lang w:val="en-US"/>
        </w:rPr>
        <w:t xml:space="preserve"> Deutsche Bank</w:t>
      </w:r>
    </w:p>
    <w:p w14:paraId="79CC403C" w14:textId="47F17841" w:rsidR="0008751D" w:rsidRPr="00D97274" w:rsidRDefault="5D80360A" w:rsidP="00D4170A">
      <w:pPr>
        <w:pStyle w:val="Heading1"/>
        <w:pageBreakBefore/>
        <w:numPr>
          <w:ilvl w:val="0"/>
          <w:numId w:val="0"/>
        </w:numPr>
        <w:jc w:val="both"/>
        <w:rPr>
          <w:rFonts w:ascii="DeutscheBank" w:hAnsi="DeutscheBank"/>
          <w:sz w:val="28"/>
          <w:szCs w:val="28"/>
          <w:lang w:val="en-GB"/>
        </w:rPr>
      </w:pPr>
      <w:bookmarkStart w:id="2" w:name="_Toc240474424"/>
      <w:r w:rsidRPr="6765BE50">
        <w:rPr>
          <w:rFonts w:ascii="DeutscheBank" w:hAnsi="DeutscheBank"/>
          <w:sz w:val="28"/>
          <w:szCs w:val="28"/>
          <w:lang w:val="en-GB"/>
        </w:rPr>
        <w:lastRenderedPageBreak/>
        <w:t>K</w:t>
      </w:r>
      <w:r w:rsidR="1D019106" w:rsidRPr="6765BE50">
        <w:rPr>
          <w:rFonts w:ascii="DeutscheBank" w:hAnsi="DeutscheBank"/>
          <w:sz w:val="28"/>
          <w:szCs w:val="28"/>
          <w:lang w:val="en-GB"/>
        </w:rPr>
        <w:t>ey</w:t>
      </w:r>
      <w:bookmarkStart w:id="3" w:name="_Toc239842182"/>
      <w:bookmarkStart w:id="4" w:name="_Toc239930520"/>
      <w:bookmarkEnd w:id="0"/>
      <w:bookmarkEnd w:id="1"/>
      <w:r w:rsidR="0008751D" w:rsidRPr="00D97274">
        <w:rPr>
          <w:rFonts w:ascii="DeutscheBank" w:hAnsi="DeutscheBank"/>
          <w:sz w:val="28"/>
          <w:szCs w:val="28"/>
          <w:lang w:val="en-GB"/>
        </w:rPr>
        <w:t xml:space="preserve"> findings at a glance</w:t>
      </w:r>
      <w:bookmarkEnd w:id="2"/>
      <w:bookmarkEnd w:id="3"/>
      <w:bookmarkEnd w:id="4"/>
    </w:p>
    <w:p w14:paraId="2BC9405C" w14:textId="1A4AC10C" w:rsidR="0008751D" w:rsidRPr="00D97274" w:rsidRDefault="0008751D" w:rsidP="00435449">
      <w:pPr>
        <w:spacing w:after="150" w:line="288" w:lineRule="auto"/>
        <w:rPr>
          <w:rFonts w:ascii="DeutscheBank" w:hAnsi="DeutscheBank"/>
          <w:sz w:val="20"/>
          <w:szCs w:val="20"/>
          <w:lang w:val="en-GB"/>
        </w:rPr>
      </w:pPr>
      <w:r w:rsidRPr="00D97274">
        <w:rPr>
          <w:rFonts w:ascii="DeutscheBank" w:hAnsi="DeutscheBank"/>
          <w:sz w:val="20"/>
          <w:szCs w:val="20"/>
          <w:lang w:val="en-GB"/>
        </w:rPr>
        <w:t>Seen through the eyes of the world's investors, Europe is a story of opportunity.</w:t>
      </w:r>
      <w:r w:rsidRPr="33F6E763">
        <w:rPr>
          <w:rFonts w:asciiTheme="minorHAnsi" w:eastAsiaTheme="minorEastAsia" w:hAnsiTheme="minorHAnsi" w:cstheme="minorBidi"/>
          <w:sz w:val="20"/>
          <w:szCs w:val="20"/>
          <w:lang w:val="en-GB"/>
        </w:rPr>
        <w:t xml:space="preserve"> </w:t>
      </w:r>
      <w:r w:rsidR="0F1FB61B" w:rsidRPr="6765BE50">
        <w:rPr>
          <w:rFonts w:asciiTheme="minorHAnsi" w:eastAsiaTheme="minorEastAsia" w:hAnsiTheme="minorHAnsi" w:cstheme="minorBidi"/>
          <w:sz w:val="20"/>
          <w:szCs w:val="20"/>
          <w:lang w:val="en-GB"/>
        </w:rPr>
        <w:t>The following</w:t>
      </w:r>
      <w:r w:rsidRPr="33F6E763">
        <w:rPr>
          <w:rFonts w:asciiTheme="minorHAnsi" w:eastAsiaTheme="minorEastAsia" w:hAnsiTheme="minorHAnsi" w:cstheme="minorBidi"/>
          <w:sz w:val="20"/>
          <w:szCs w:val="20"/>
          <w:lang w:val="en-GB"/>
        </w:rPr>
        <w:t xml:space="preserve"> findings sum</w:t>
      </w:r>
      <w:r w:rsidRPr="00D97274">
        <w:rPr>
          <w:rFonts w:ascii="DeutscheBank" w:hAnsi="DeutscheBank"/>
          <w:sz w:val="20"/>
          <w:szCs w:val="20"/>
          <w:lang w:val="en-GB"/>
        </w:rPr>
        <w:t xml:space="preserve">marise the </w:t>
      </w:r>
      <w:r w:rsidR="133E30C3" w:rsidRPr="6765BE50">
        <w:rPr>
          <w:rFonts w:ascii="DeutscheBank" w:hAnsi="DeutscheBank"/>
          <w:sz w:val="20"/>
          <w:szCs w:val="20"/>
          <w:lang w:val="en-GB"/>
        </w:rPr>
        <w:t>survey findings</w:t>
      </w:r>
      <w:r w:rsidRPr="00D97274">
        <w:rPr>
          <w:rFonts w:ascii="DeutscheBank" w:hAnsi="DeutscheBank"/>
          <w:sz w:val="20"/>
          <w:szCs w:val="20"/>
          <w:lang w:val="en-GB"/>
        </w:rPr>
        <w:t xml:space="preserve"> and set the order for the chapters </w:t>
      </w:r>
      <w:r w:rsidR="0B770752" w:rsidRPr="6765BE50">
        <w:rPr>
          <w:rFonts w:ascii="DeutscheBank" w:hAnsi="DeutscheBank"/>
          <w:sz w:val="20"/>
          <w:szCs w:val="20"/>
          <w:lang w:val="en-GB"/>
        </w:rPr>
        <w:t xml:space="preserve">of the report </w:t>
      </w:r>
      <w:r w:rsidRPr="00D97274">
        <w:rPr>
          <w:rFonts w:ascii="DeutscheBank" w:hAnsi="DeutscheBank"/>
          <w:sz w:val="20"/>
          <w:szCs w:val="20"/>
          <w:lang w:val="en-GB"/>
        </w:rPr>
        <w:t xml:space="preserve">that </w:t>
      </w:r>
      <w:r w:rsidRPr="6765BE50">
        <w:rPr>
          <w:rFonts w:ascii="DeutscheBank" w:hAnsi="DeutscheBank"/>
          <w:sz w:val="20"/>
          <w:szCs w:val="20"/>
          <w:lang w:val="en-GB"/>
        </w:rPr>
        <w:t>follow</w:t>
      </w:r>
      <w:r w:rsidR="342A3190" w:rsidRPr="6765BE50">
        <w:rPr>
          <w:rFonts w:ascii="DeutscheBank" w:hAnsi="DeutscheBank"/>
          <w:sz w:val="20"/>
          <w:szCs w:val="20"/>
          <w:lang w:val="en-GB"/>
        </w:rPr>
        <w:t>s</w:t>
      </w:r>
      <w:r w:rsidRPr="00D97274">
        <w:rPr>
          <w:rFonts w:ascii="DeutscheBank" w:hAnsi="DeutscheBank"/>
          <w:sz w:val="20"/>
          <w:szCs w:val="20"/>
          <w:lang w:val="en-GB"/>
        </w:rPr>
        <w:t>.</w:t>
      </w:r>
    </w:p>
    <w:p w14:paraId="14A24770" w14:textId="3E784671" w:rsidR="595DD7A0" w:rsidRDefault="66C22677" w:rsidP="00435449">
      <w:pPr>
        <w:pStyle w:val="ListParagraph"/>
        <w:numPr>
          <w:ilvl w:val="0"/>
          <w:numId w:val="9"/>
        </w:numPr>
        <w:spacing w:after="130" w:line="284" w:lineRule="auto"/>
        <w:rPr>
          <w:rFonts w:ascii="DeutscheBank" w:eastAsia="DeutscheBank" w:hAnsi="DeutscheBank" w:cs="DeutscheBank"/>
          <w:sz w:val="20"/>
          <w:szCs w:val="20"/>
          <w:lang w:val="en-GB"/>
        </w:rPr>
      </w:pPr>
      <w:r w:rsidRPr="041E5C19">
        <w:rPr>
          <w:rFonts w:ascii="DeutscheBank" w:eastAsia="DeutscheBank" w:hAnsi="DeutscheBank" w:cs="DeutscheBank"/>
          <w:b/>
          <w:bCs/>
          <w:color w:val="1E2A78" w:themeColor="accent1"/>
          <w:sz w:val="20"/>
          <w:szCs w:val="20"/>
          <w:lang w:val="en-GB"/>
        </w:rPr>
        <w:t xml:space="preserve">Business leaders put Europe </w:t>
      </w:r>
      <w:r w:rsidR="00945093" w:rsidRPr="041E5C19">
        <w:rPr>
          <w:rFonts w:ascii="DeutscheBank" w:eastAsia="DeutscheBank" w:hAnsi="DeutscheBank" w:cs="DeutscheBank"/>
          <w:b/>
          <w:bCs/>
          <w:color w:val="1E2A78" w:themeColor="accent1"/>
          <w:sz w:val="20"/>
          <w:szCs w:val="20"/>
          <w:lang w:val="en-GB"/>
        </w:rPr>
        <w:t xml:space="preserve">ahead of </w:t>
      </w:r>
      <w:r w:rsidR="595DD7A0" w:rsidRPr="041E5C19">
        <w:rPr>
          <w:rFonts w:ascii="DeutscheBank" w:eastAsia="DeutscheBank" w:hAnsi="DeutscheBank" w:cs="DeutscheBank"/>
          <w:b/>
          <w:bCs/>
          <w:color w:val="1E2A78" w:themeColor="accent1"/>
          <w:sz w:val="20"/>
          <w:szCs w:val="20"/>
          <w:lang w:val="en-GB"/>
        </w:rPr>
        <w:t>America and Asia</w:t>
      </w:r>
      <w:r w:rsidR="595DD7A0" w:rsidRPr="041E5C19">
        <w:rPr>
          <w:rFonts w:ascii="DeutscheBank" w:eastAsia="DeutscheBank" w:hAnsi="DeutscheBank" w:cs="DeutscheBank"/>
          <w:b/>
          <w:bCs/>
          <w:color w:val="000000" w:themeColor="text1"/>
          <w:sz w:val="20"/>
          <w:szCs w:val="20"/>
          <w:lang w:val="en-GB"/>
        </w:rPr>
        <w:t xml:space="preserve">. </w:t>
      </w:r>
      <w:r w:rsidR="595DD7A0" w:rsidRPr="041E5C19">
        <w:rPr>
          <w:rFonts w:ascii="DeutscheBank" w:eastAsia="DeutscheBank" w:hAnsi="DeutscheBank" w:cs="DeutscheBank"/>
          <w:sz w:val="20"/>
          <w:szCs w:val="20"/>
          <w:lang w:val="en-GB"/>
        </w:rPr>
        <w:t xml:space="preserve">More than a third of decision-makers (35 percent) name Europe the most attractive region for their business, ahead of APAC </w:t>
      </w:r>
      <w:r w:rsidR="12EE0B95" w:rsidRPr="041E5C19">
        <w:rPr>
          <w:rFonts w:ascii="DeutscheBank" w:eastAsia="DeutscheBank" w:hAnsi="DeutscheBank" w:cs="DeutscheBank"/>
          <w:sz w:val="20"/>
          <w:szCs w:val="20"/>
          <w:lang w:val="en-GB"/>
        </w:rPr>
        <w:t>(</w:t>
      </w:r>
      <w:r w:rsidR="595DD7A0" w:rsidRPr="041E5C19">
        <w:rPr>
          <w:rFonts w:ascii="DeutscheBank" w:eastAsia="DeutscheBank" w:hAnsi="DeutscheBank" w:cs="DeutscheBank"/>
          <w:sz w:val="20"/>
          <w:szCs w:val="20"/>
          <w:lang w:val="en-GB"/>
        </w:rPr>
        <w:t>excluding China</w:t>
      </w:r>
      <w:r w:rsidR="01DF3082" w:rsidRPr="041E5C19">
        <w:rPr>
          <w:rFonts w:ascii="DeutscheBank" w:eastAsia="DeutscheBank" w:hAnsi="DeutscheBank" w:cs="DeutscheBank"/>
          <w:sz w:val="20"/>
          <w:szCs w:val="20"/>
          <w:lang w:val="en-GB"/>
        </w:rPr>
        <w:t>)</w:t>
      </w:r>
      <w:r w:rsidR="595DD7A0" w:rsidRPr="041E5C19">
        <w:rPr>
          <w:rFonts w:ascii="DeutscheBank" w:eastAsia="DeutscheBank" w:hAnsi="DeutscheBank" w:cs="DeutscheBank"/>
          <w:sz w:val="20"/>
          <w:szCs w:val="20"/>
          <w:lang w:val="en-GB"/>
        </w:rPr>
        <w:t xml:space="preserve"> and </w:t>
      </w:r>
      <w:r w:rsidR="17824BE9" w:rsidRPr="041E5C19">
        <w:rPr>
          <w:rFonts w:ascii="DeutscheBank" w:eastAsia="DeutscheBank" w:hAnsi="DeutscheBank" w:cs="DeutscheBank"/>
          <w:sz w:val="20"/>
          <w:szCs w:val="20"/>
          <w:lang w:val="en-GB"/>
        </w:rPr>
        <w:t xml:space="preserve">North </w:t>
      </w:r>
      <w:r w:rsidR="595DD7A0" w:rsidRPr="041E5C19">
        <w:rPr>
          <w:rFonts w:asciiTheme="minorHAnsi" w:eastAsiaTheme="minorEastAsia" w:hAnsiTheme="minorHAnsi" w:cstheme="minorBidi"/>
          <w:sz w:val="20"/>
          <w:szCs w:val="20"/>
          <w:lang w:val="en-GB"/>
        </w:rPr>
        <w:t xml:space="preserve">America. </w:t>
      </w:r>
    </w:p>
    <w:p w14:paraId="1D4A923D" w14:textId="372F8454" w:rsidR="0008751D" w:rsidRDefault="595DD7A0" w:rsidP="00435449">
      <w:pPr>
        <w:pStyle w:val="ListParagraph"/>
        <w:numPr>
          <w:ilvl w:val="0"/>
          <w:numId w:val="9"/>
        </w:numPr>
        <w:spacing w:after="130" w:line="284" w:lineRule="auto"/>
        <w:rPr>
          <w:rFonts w:ascii="DeutscheBank" w:eastAsia="DeutscheBank" w:hAnsi="DeutscheBank" w:cs="DeutscheBank"/>
          <w:sz w:val="20"/>
          <w:szCs w:val="20"/>
          <w:lang w:val="en-GB"/>
        </w:rPr>
      </w:pPr>
      <w:r w:rsidRPr="00120A88">
        <w:rPr>
          <w:rFonts w:ascii="DeutscheBank" w:eastAsia="DeutscheBank" w:hAnsi="DeutscheBank" w:cs="DeutscheBank"/>
          <w:b/>
          <w:color w:val="1E2A78" w:themeColor="accent1"/>
          <w:sz w:val="20"/>
          <w:szCs w:val="20"/>
          <w:lang w:val="en-GB"/>
        </w:rPr>
        <w:t>Confidence in Europe is growing</w:t>
      </w:r>
      <w:r w:rsidR="00D4170A">
        <w:rPr>
          <w:rFonts w:ascii="DeutscheBank" w:eastAsia="DeutscheBank" w:hAnsi="DeutscheBank" w:cs="DeutscheBank"/>
          <w:b/>
          <w:bCs/>
          <w:color w:val="1E2A78" w:themeColor="accent1"/>
          <w:sz w:val="20"/>
          <w:szCs w:val="20"/>
          <w:lang w:val="en-GB"/>
        </w:rPr>
        <w:t>.</w:t>
      </w:r>
      <w:r w:rsidR="0008751D" w:rsidRPr="00C7665A">
        <w:rPr>
          <w:rFonts w:ascii="DeutscheBank" w:eastAsia="DeutscheBank" w:hAnsi="DeutscheBank" w:cs="DeutscheBank"/>
          <w:b/>
          <w:color w:val="000000" w:themeColor="text1"/>
          <w:sz w:val="20"/>
          <w:szCs w:val="20"/>
          <w:lang w:val="en-GB"/>
        </w:rPr>
        <w:t xml:space="preserve"> </w:t>
      </w:r>
      <w:r w:rsidR="0008751D" w:rsidRPr="592AC04D">
        <w:rPr>
          <w:rFonts w:ascii="DeutscheBank" w:eastAsia="DeutscheBank" w:hAnsi="DeutscheBank" w:cs="DeutscheBank"/>
          <w:sz w:val="20"/>
          <w:szCs w:val="20"/>
          <w:lang w:val="en-GB"/>
        </w:rPr>
        <w:t xml:space="preserve">For 81 percent, Europe matters more in investment decisions today than three years ago – 28 percent </w:t>
      </w:r>
      <w:r w:rsidR="7FE8EE3A" w:rsidRPr="5F675D6C">
        <w:rPr>
          <w:rFonts w:ascii="DeutscheBank" w:eastAsia="DeutscheBank" w:hAnsi="DeutscheBank" w:cs="DeutscheBank"/>
          <w:sz w:val="20"/>
          <w:szCs w:val="20"/>
          <w:lang w:val="en-GB"/>
        </w:rPr>
        <w:t xml:space="preserve">say </w:t>
      </w:r>
      <w:r w:rsidR="7FE8EE3A" w:rsidRPr="6765BE50">
        <w:rPr>
          <w:rFonts w:ascii="DeutscheBank" w:eastAsia="DeutscheBank" w:hAnsi="DeutscheBank" w:cs="DeutscheBank"/>
          <w:sz w:val="20"/>
          <w:szCs w:val="20"/>
          <w:lang w:val="en-GB"/>
        </w:rPr>
        <w:t>it</w:t>
      </w:r>
      <w:r w:rsidR="7B25E682" w:rsidRPr="6765BE50">
        <w:rPr>
          <w:rFonts w:ascii="DeutscheBank" w:eastAsia="DeutscheBank" w:hAnsi="DeutscheBank" w:cs="DeutscheBank"/>
          <w:sz w:val="20"/>
          <w:szCs w:val="20"/>
          <w:lang w:val="en-GB"/>
        </w:rPr>
        <w:t xml:space="preserve"> i</w:t>
      </w:r>
      <w:r w:rsidR="7FE8EE3A" w:rsidRPr="6765BE50">
        <w:rPr>
          <w:rFonts w:ascii="DeutscheBank" w:eastAsia="DeutscheBank" w:hAnsi="DeutscheBank" w:cs="DeutscheBank"/>
          <w:sz w:val="20"/>
          <w:szCs w:val="20"/>
          <w:lang w:val="en-GB"/>
        </w:rPr>
        <w:t>s</w:t>
      </w:r>
      <w:r w:rsidR="7FE8EE3A" w:rsidRPr="5F675D6C">
        <w:rPr>
          <w:rFonts w:ascii="DeutscheBank" w:eastAsia="DeutscheBank" w:hAnsi="DeutscheBank" w:cs="DeutscheBank"/>
          <w:sz w:val="20"/>
          <w:szCs w:val="20"/>
          <w:lang w:val="en-GB"/>
        </w:rPr>
        <w:t xml:space="preserve"> </w:t>
      </w:r>
      <w:r w:rsidR="0008751D" w:rsidRPr="592AC04D">
        <w:rPr>
          <w:rFonts w:ascii="DeutscheBank" w:eastAsia="DeutscheBank" w:hAnsi="DeutscheBank" w:cs="DeutscheBank"/>
          <w:sz w:val="20"/>
          <w:szCs w:val="20"/>
          <w:lang w:val="en-GB"/>
        </w:rPr>
        <w:t>much more important, 53 percent somewhat more important – and only 3 percent see it declining.</w:t>
      </w:r>
    </w:p>
    <w:p w14:paraId="50D8EED3" w14:textId="6ED244B4" w:rsidR="0008751D" w:rsidRDefault="0008751D" w:rsidP="00435449">
      <w:pPr>
        <w:pStyle w:val="ListParagraph"/>
        <w:numPr>
          <w:ilvl w:val="0"/>
          <w:numId w:val="9"/>
        </w:numPr>
        <w:spacing w:after="130" w:line="284" w:lineRule="auto"/>
        <w:rPr>
          <w:rFonts w:ascii="DeutscheBank" w:eastAsia="DeutscheBank" w:hAnsi="DeutscheBank" w:cs="DeutscheBank"/>
          <w:sz w:val="20"/>
          <w:szCs w:val="20"/>
          <w:lang w:val="en-GB"/>
        </w:rPr>
      </w:pPr>
      <w:r w:rsidRPr="041E5C19">
        <w:rPr>
          <w:rFonts w:ascii="DeutscheBank" w:eastAsia="DeutscheBank" w:hAnsi="DeutscheBank" w:cs="DeutscheBank"/>
          <w:b/>
          <w:bCs/>
          <w:color w:val="1E2A78" w:themeColor="accent1"/>
          <w:sz w:val="20"/>
          <w:szCs w:val="20"/>
          <w:lang w:val="en-GB"/>
        </w:rPr>
        <w:t xml:space="preserve">Europe is seen as </w:t>
      </w:r>
      <w:r w:rsidR="00E70E98" w:rsidRPr="041E5C19">
        <w:rPr>
          <w:rFonts w:ascii="DeutscheBank" w:eastAsia="DeutscheBank" w:hAnsi="DeutscheBank" w:cs="DeutscheBank"/>
          <w:b/>
          <w:bCs/>
          <w:color w:val="1E2A78" w:themeColor="accent1"/>
          <w:sz w:val="20"/>
          <w:szCs w:val="20"/>
          <w:lang w:val="en-GB"/>
        </w:rPr>
        <w:t xml:space="preserve">resilient in </w:t>
      </w:r>
      <w:r w:rsidR="00E84794" w:rsidRPr="041E5C19">
        <w:rPr>
          <w:rFonts w:ascii="DeutscheBank" w:eastAsia="DeutscheBank" w:hAnsi="DeutscheBank" w:cs="DeutscheBank"/>
          <w:b/>
          <w:bCs/>
          <w:color w:val="1E2A78" w:themeColor="accent1"/>
          <w:sz w:val="20"/>
          <w:szCs w:val="20"/>
          <w:lang w:val="en-GB"/>
        </w:rPr>
        <w:t>uncertain times</w:t>
      </w:r>
      <w:r w:rsidRPr="041E5C19">
        <w:rPr>
          <w:rFonts w:ascii="DeutscheBank" w:eastAsia="DeutscheBank" w:hAnsi="DeutscheBank" w:cs="DeutscheBank"/>
          <w:b/>
          <w:bCs/>
          <w:color w:val="1E2A78" w:themeColor="accent1"/>
          <w:sz w:val="20"/>
          <w:szCs w:val="20"/>
          <w:lang w:val="en-GB"/>
        </w:rPr>
        <w:t>.</w:t>
      </w:r>
      <w:r w:rsidRPr="041E5C19">
        <w:rPr>
          <w:rFonts w:ascii="DeutscheBank" w:eastAsia="DeutscheBank" w:hAnsi="DeutscheBank" w:cs="DeutscheBank"/>
          <w:b/>
          <w:bCs/>
          <w:color w:val="000000" w:themeColor="text1"/>
          <w:sz w:val="20"/>
          <w:szCs w:val="20"/>
          <w:lang w:val="en-GB"/>
        </w:rPr>
        <w:t xml:space="preserve"> </w:t>
      </w:r>
      <w:r w:rsidR="00AD537C" w:rsidRPr="041E5C19">
        <w:rPr>
          <w:rFonts w:ascii="DeutscheBank" w:eastAsia="DeutscheBank" w:hAnsi="DeutscheBank" w:cs="DeutscheBank"/>
          <w:color w:val="000000" w:themeColor="text1"/>
          <w:sz w:val="20"/>
          <w:szCs w:val="20"/>
          <w:lang w:val="en-GB"/>
        </w:rPr>
        <w:t xml:space="preserve">Some </w:t>
      </w:r>
      <w:r w:rsidRPr="041E5C19">
        <w:rPr>
          <w:rFonts w:ascii="DeutscheBank" w:eastAsia="DeutscheBank" w:hAnsi="DeutscheBank" w:cs="DeutscheBank"/>
          <w:sz w:val="20"/>
          <w:szCs w:val="20"/>
          <w:lang w:val="en-GB"/>
        </w:rPr>
        <w:t xml:space="preserve">71 percent rate Europe </w:t>
      </w:r>
      <w:r w:rsidR="008718DA" w:rsidRPr="041E5C19">
        <w:rPr>
          <w:rFonts w:ascii="DeutscheBank" w:eastAsia="DeutscheBank" w:hAnsi="DeutscheBank" w:cs="DeutscheBank"/>
          <w:sz w:val="20"/>
          <w:szCs w:val="20"/>
          <w:lang w:val="en-GB"/>
        </w:rPr>
        <w:t xml:space="preserve">as </w:t>
      </w:r>
      <w:r w:rsidRPr="041E5C19">
        <w:rPr>
          <w:rFonts w:ascii="DeutscheBank" w:eastAsia="DeutscheBank" w:hAnsi="DeutscheBank" w:cs="DeutscheBank"/>
          <w:sz w:val="20"/>
          <w:szCs w:val="20"/>
          <w:lang w:val="en-GB"/>
        </w:rPr>
        <w:t xml:space="preserve">highly or </w:t>
      </w:r>
      <w:r w:rsidR="1D8CC22D" w:rsidRPr="041E5C19">
        <w:rPr>
          <w:rFonts w:ascii="DeutscheBank" w:eastAsia="DeutscheBank" w:hAnsi="DeutscheBank" w:cs="DeutscheBank"/>
          <w:sz w:val="20"/>
          <w:szCs w:val="20"/>
          <w:lang w:val="en-GB"/>
        </w:rPr>
        <w:t>rather</w:t>
      </w:r>
      <w:r w:rsidRPr="041E5C19">
        <w:rPr>
          <w:rFonts w:ascii="DeutscheBank" w:eastAsia="DeutscheBank" w:hAnsi="DeutscheBank" w:cs="DeutscheBank"/>
          <w:sz w:val="20"/>
          <w:szCs w:val="20"/>
          <w:lang w:val="en-GB"/>
        </w:rPr>
        <w:t xml:space="preserve"> resilient </w:t>
      </w:r>
      <w:r w:rsidR="3E2958D8" w:rsidRPr="041E5C19">
        <w:rPr>
          <w:rFonts w:ascii="DeutscheBank" w:eastAsia="DeutscheBank" w:hAnsi="DeutscheBank" w:cs="DeutscheBank"/>
          <w:sz w:val="20"/>
          <w:szCs w:val="20"/>
          <w:lang w:val="en-GB"/>
        </w:rPr>
        <w:t>amid</w:t>
      </w:r>
      <w:r w:rsidRPr="041E5C19">
        <w:rPr>
          <w:rFonts w:ascii="DeutscheBank" w:eastAsia="DeutscheBank" w:hAnsi="DeutscheBank" w:cs="DeutscheBank"/>
          <w:sz w:val="20"/>
          <w:szCs w:val="20"/>
          <w:lang w:val="en-GB"/>
        </w:rPr>
        <w:t xml:space="preserve"> economic and geopolitical stress, </w:t>
      </w:r>
      <w:r w:rsidR="008718DA" w:rsidRPr="041E5C19">
        <w:rPr>
          <w:rFonts w:ascii="DeutscheBank" w:eastAsia="DeutscheBank" w:hAnsi="DeutscheBank" w:cs="DeutscheBank"/>
          <w:sz w:val="20"/>
          <w:szCs w:val="20"/>
          <w:lang w:val="en-GB"/>
        </w:rPr>
        <w:t>rising to</w:t>
      </w:r>
      <w:r w:rsidRPr="041E5C19">
        <w:rPr>
          <w:rFonts w:ascii="DeutscheBank" w:eastAsia="DeutscheBank" w:hAnsi="DeutscheBank" w:cs="DeutscheBank"/>
          <w:sz w:val="20"/>
          <w:szCs w:val="20"/>
          <w:lang w:val="en-GB"/>
        </w:rPr>
        <w:t xml:space="preserve"> 82 percent in the Middle East. Stability has become a</w:t>
      </w:r>
      <w:r w:rsidR="008718DA" w:rsidRPr="041E5C19">
        <w:rPr>
          <w:rFonts w:ascii="DeutscheBank" w:eastAsia="DeutscheBank" w:hAnsi="DeutscheBank" w:cs="DeutscheBank"/>
          <w:sz w:val="20"/>
          <w:szCs w:val="20"/>
          <w:lang w:val="en-GB"/>
        </w:rPr>
        <w:t xml:space="preserve">n important </w:t>
      </w:r>
      <w:r w:rsidR="00885227" w:rsidRPr="041E5C19">
        <w:rPr>
          <w:rFonts w:ascii="DeutscheBank" w:eastAsia="DeutscheBank" w:hAnsi="DeutscheBank" w:cs="DeutscheBank"/>
          <w:sz w:val="20"/>
          <w:szCs w:val="20"/>
          <w:lang w:val="en-GB"/>
        </w:rPr>
        <w:t>factor in investment decisions</w:t>
      </w:r>
      <w:r w:rsidRPr="041E5C19">
        <w:rPr>
          <w:rFonts w:ascii="DeutscheBank" w:eastAsia="DeutscheBank" w:hAnsi="DeutscheBank" w:cs="DeutscheBank"/>
          <w:sz w:val="20"/>
          <w:szCs w:val="20"/>
          <w:lang w:val="en-GB"/>
        </w:rPr>
        <w:t>.</w:t>
      </w:r>
    </w:p>
    <w:p w14:paraId="2FA635F8" w14:textId="6FC10C2D" w:rsidR="595DD7A0" w:rsidRDefault="595DD7A0" w:rsidP="00435449">
      <w:pPr>
        <w:pStyle w:val="ListParagraph"/>
        <w:numPr>
          <w:ilvl w:val="0"/>
          <w:numId w:val="9"/>
        </w:numPr>
        <w:spacing w:after="130" w:line="284" w:lineRule="auto"/>
        <w:rPr>
          <w:rFonts w:ascii="DeutscheBank" w:eastAsia="DeutscheBank" w:hAnsi="DeutscheBank" w:cs="DeutscheBank"/>
          <w:sz w:val="20"/>
          <w:szCs w:val="20"/>
          <w:lang w:val="en-GB"/>
        </w:rPr>
      </w:pPr>
      <w:r w:rsidRPr="00120A88">
        <w:rPr>
          <w:rFonts w:ascii="DeutscheBank" w:eastAsia="DeutscheBank" w:hAnsi="DeutscheBank" w:cs="DeutscheBank"/>
          <w:b/>
          <w:color w:val="1E2A78" w:themeColor="accent1"/>
          <w:sz w:val="20"/>
          <w:szCs w:val="20"/>
          <w:lang w:val="en-GB"/>
        </w:rPr>
        <w:t>Investors are increasingly keen to venture into Europe.</w:t>
      </w:r>
      <w:r>
        <w:rPr>
          <w:rFonts w:ascii="DeutscheBank" w:eastAsia="DeutscheBank" w:hAnsi="DeutscheBank" w:cs="DeutscheBank"/>
          <w:b/>
          <w:color w:val="000000" w:themeColor="text1"/>
          <w:sz w:val="20"/>
          <w:szCs w:val="20"/>
          <w:lang w:val="en-GB"/>
        </w:rPr>
        <w:t xml:space="preserve"> </w:t>
      </w:r>
      <w:r w:rsidRPr="592AC04D">
        <w:rPr>
          <w:rFonts w:ascii="DeutscheBank" w:eastAsia="DeutscheBank" w:hAnsi="DeutscheBank" w:cs="DeutscheBank"/>
          <w:sz w:val="20"/>
          <w:szCs w:val="20"/>
          <w:lang w:val="en-GB"/>
        </w:rPr>
        <w:t>61 percent are already invested and plan to expand within five years, and a further 33 percent plan or are considering market entry. For many, this would mean reallocating capital from other regions.</w:t>
      </w:r>
    </w:p>
    <w:p w14:paraId="1D91777A" w14:textId="3BA25C67" w:rsidR="595DD7A0" w:rsidRPr="006459EF" w:rsidRDefault="1FCF463E" w:rsidP="00435449">
      <w:pPr>
        <w:pStyle w:val="ListParagraph"/>
        <w:numPr>
          <w:ilvl w:val="0"/>
          <w:numId w:val="9"/>
        </w:numPr>
        <w:spacing w:after="130" w:line="284" w:lineRule="auto"/>
        <w:rPr>
          <w:rFonts w:ascii="DeutscheBank" w:eastAsia="DeutscheBank" w:hAnsi="DeutscheBank" w:cs="DeutscheBank"/>
          <w:color w:val="auto"/>
          <w:sz w:val="20"/>
          <w:szCs w:val="20"/>
          <w:lang w:val="en-US"/>
        </w:rPr>
      </w:pPr>
      <w:r w:rsidRPr="041E5C19">
        <w:rPr>
          <w:rFonts w:ascii="DeutscheBank" w:eastAsia="DeutscheBank" w:hAnsi="DeutscheBank" w:cs="DeutscheBank"/>
          <w:b/>
          <w:bCs/>
          <w:color w:val="1E2A78" w:themeColor="accent1"/>
          <w:sz w:val="20"/>
          <w:szCs w:val="20"/>
          <w:lang w:val="en-GB"/>
        </w:rPr>
        <w:t>Europe</w:t>
      </w:r>
      <w:r w:rsidR="7342A75C" w:rsidRPr="041E5C19">
        <w:rPr>
          <w:rFonts w:ascii="DeutscheBank" w:eastAsia="DeutscheBank" w:hAnsi="DeutscheBank" w:cs="DeutscheBank"/>
          <w:b/>
          <w:bCs/>
          <w:color w:val="1E2A78" w:themeColor="accent1"/>
          <w:sz w:val="20"/>
          <w:szCs w:val="20"/>
          <w:lang w:val="en-GB"/>
        </w:rPr>
        <w:t xml:space="preserve"> remains an attractive consumer market</w:t>
      </w:r>
      <w:r w:rsidR="35AE2009" w:rsidRPr="041E5C19">
        <w:rPr>
          <w:rFonts w:ascii="DeutscheBank" w:eastAsia="DeutscheBank" w:hAnsi="DeutscheBank" w:cs="DeutscheBank"/>
          <w:b/>
          <w:bCs/>
          <w:color w:val="1E2A78" w:themeColor="accent1"/>
          <w:sz w:val="20"/>
          <w:szCs w:val="20"/>
          <w:lang w:val="en-GB"/>
        </w:rPr>
        <w:t xml:space="preserve">, while its </w:t>
      </w:r>
      <w:r w:rsidR="0C37260E" w:rsidRPr="041E5C19">
        <w:rPr>
          <w:rFonts w:ascii="DeutscheBank" w:eastAsia="DeutscheBank" w:hAnsi="DeutscheBank" w:cs="DeutscheBank"/>
          <w:b/>
          <w:bCs/>
          <w:color w:val="1E2A78" w:themeColor="accent1"/>
          <w:sz w:val="20"/>
          <w:szCs w:val="20"/>
          <w:lang w:val="en-GB"/>
        </w:rPr>
        <w:t>industrial importance continues to grow.</w:t>
      </w:r>
      <w:r w:rsidR="35AE2009" w:rsidRPr="041E5C19">
        <w:rPr>
          <w:rFonts w:ascii="DeutscheBank" w:eastAsia="DeutscheBank" w:hAnsi="DeutscheBank" w:cs="DeutscheBank"/>
          <w:b/>
          <w:bCs/>
          <w:color w:val="1E2A78" w:themeColor="accent1"/>
          <w:sz w:val="20"/>
          <w:szCs w:val="20"/>
          <w:lang w:val="en-GB"/>
        </w:rPr>
        <w:t>    </w:t>
      </w:r>
      <w:r w:rsidR="6E642741" w:rsidRPr="041E5C19">
        <w:rPr>
          <w:rFonts w:ascii="DeutscheBank" w:eastAsia="DeutscheBank" w:hAnsi="DeutscheBank" w:cs="DeutscheBank"/>
          <w:sz w:val="20"/>
          <w:szCs w:val="20"/>
          <w:lang w:val="en-US"/>
        </w:rPr>
        <w:t xml:space="preserve">99 percent call Europe an important consumer market and 92 percent </w:t>
      </w:r>
      <w:r w:rsidR="4893AD87" w:rsidRPr="041E5C19">
        <w:rPr>
          <w:rFonts w:ascii="DeutscheBank" w:eastAsia="DeutscheBank" w:hAnsi="DeutscheBank" w:cs="DeutscheBank"/>
          <w:sz w:val="20"/>
          <w:szCs w:val="20"/>
          <w:lang w:val="en-US"/>
        </w:rPr>
        <w:t xml:space="preserve">say it </w:t>
      </w:r>
      <w:r w:rsidR="4080587E" w:rsidRPr="041E5C19">
        <w:rPr>
          <w:rFonts w:ascii="DeutscheBank" w:eastAsia="DeutscheBank" w:hAnsi="DeutscheBank" w:cs="DeutscheBank"/>
          <w:sz w:val="20"/>
          <w:szCs w:val="20"/>
          <w:lang w:val="en-US"/>
        </w:rPr>
        <w:t>i</w:t>
      </w:r>
      <w:r w:rsidR="15132AF1" w:rsidRPr="041E5C19">
        <w:rPr>
          <w:rFonts w:ascii="DeutscheBank" w:eastAsia="DeutscheBank" w:hAnsi="DeutscheBank" w:cs="DeutscheBank"/>
          <w:sz w:val="20"/>
          <w:szCs w:val="20"/>
          <w:lang w:val="en-US"/>
        </w:rPr>
        <w:t>s</w:t>
      </w:r>
      <w:r w:rsidR="6E642741" w:rsidRPr="041E5C19">
        <w:rPr>
          <w:rFonts w:ascii="DeutscheBank" w:eastAsia="DeutscheBank" w:hAnsi="DeutscheBank" w:cs="DeutscheBank"/>
          <w:sz w:val="20"/>
          <w:szCs w:val="20"/>
          <w:lang w:val="en-US"/>
        </w:rPr>
        <w:t xml:space="preserve"> important </w:t>
      </w:r>
      <w:r w:rsidR="59DCA73B" w:rsidRPr="041E5C19">
        <w:rPr>
          <w:rFonts w:ascii="DeutscheBank" w:eastAsia="DeutscheBank" w:hAnsi="DeutscheBank" w:cs="DeutscheBank"/>
          <w:sz w:val="20"/>
          <w:szCs w:val="20"/>
          <w:lang w:val="en-US"/>
        </w:rPr>
        <w:t xml:space="preserve">for </w:t>
      </w:r>
      <w:r w:rsidR="44C8EED5" w:rsidRPr="041E5C19">
        <w:rPr>
          <w:rFonts w:ascii="DeutscheBank" w:eastAsia="DeutscheBank" w:hAnsi="DeutscheBank" w:cs="DeutscheBank"/>
          <w:sz w:val="20"/>
          <w:szCs w:val="20"/>
          <w:lang w:val="en-US"/>
        </w:rPr>
        <w:t xml:space="preserve">production, research and development, and supply-chain stability. </w:t>
      </w:r>
      <w:r w:rsidR="592CEF1B" w:rsidRPr="041E5C19">
        <w:rPr>
          <w:rFonts w:ascii="DeutscheBank" w:eastAsia="DeutscheBank" w:hAnsi="DeutscheBank" w:cs="DeutscheBank"/>
          <w:sz w:val="20"/>
          <w:szCs w:val="20"/>
          <w:lang w:val="en-US"/>
        </w:rPr>
        <w:t>Europe’s industrial role still has room for growth</w:t>
      </w:r>
      <w:r w:rsidR="30E1EB40" w:rsidRPr="041E5C19">
        <w:rPr>
          <w:rFonts w:ascii="DeutscheBank" w:eastAsia="DeutscheBank" w:hAnsi="DeutscheBank" w:cs="DeutscheBank"/>
          <w:sz w:val="20"/>
          <w:szCs w:val="20"/>
          <w:lang w:val="en-US"/>
        </w:rPr>
        <w:t xml:space="preserve"> as only 19</w:t>
      </w:r>
      <w:r w:rsidR="42068589" w:rsidRPr="041E5C19">
        <w:rPr>
          <w:rFonts w:ascii="DeutscheBank" w:eastAsia="DeutscheBank" w:hAnsi="DeutscheBank" w:cs="DeutscheBank"/>
          <w:sz w:val="20"/>
          <w:szCs w:val="20"/>
          <w:lang w:val="en-US"/>
        </w:rPr>
        <w:t xml:space="preserve"> percent</w:t>
      </w:r>
      <w:r w:rsidR="30E1EB40" w:rsidRPr="041E5C19">
        <w:rPr>
          <w:rFonts w:ascii="DeutscheBank" w:eastAsia="DeutscheBank" w:hAnsi="DeutscheBank" w:cs="DeutscheBank"/>
          <w:sz w:val="20"/>
          <w:szCs w:val="20"/>
          <w:lang w:val="en-US"/>
        </w:rPr>
        <w:t xml:space="preserve"> of companies </w:t>
      </w:r>
      <w:r w:rsidR="001462F0" w:rsidRPr="041E5C19">
        <w:rPr>
          <w:rFonts w:ascii="DeutscheBank" w:eastAsia="DeutscheBank" w:hAnsi="DeutscheBank" w:cs="DeutscheBank"/>
          <w:sz w:val="20"/>
          <w:szCs w:val="20"/>
          <w:lang w:val="en-US"/>
        </w:rPr>
        <w:t>already</w:t>
      </w:r>
      <w:r w:rsidR="22952874" w:rsidRPr="041E5C19">
        <w:rPr>
          <w:rFonts w:ascii="DeutscheBank" w:eastAsia="DeutscheBank" w:hAnsi="DeutscheBank" w:cs="DeutscheBank"/>
          <w:sz w:val="20"/>
          <w:szCs w:val="20"/>
          <w:lang w:val="en-US"/>
        </w:rPr>
        <w:t xml:space="preserve"> active</w:t>
      </w:r>
      <w:r w:rsidR="001462F0" w:rsidRPr="041E5C19">
        <w:rPr>
          <w:rFonts w:ascii="DeutscheBank" w:eastAsia="DeutscheBank" w:hAnsi="DeutscheBank" w:cs="DeutscheBank"/>
          <w:sz w:val="20"/>
          <w:szCs w:val="20"/>
          <w:lang w:val="en-US"/>
        </w:rPr>
        <w:t xml:space="preserve"> in Europe </w:t>
      </w:r>
      <w:r w:rsidR="30E1EB40" w:rsidRPr="041E5C19">
        <w:rPr>
          <w:rFonts w:ascii="DeutscheBank" w:eastAsia="DeutscheBank" w:hAnsi="DeutscheBank" w:cs="DeutscheBank"/>
          <w:sz w:val="20"/>
          <w:szCs w:val="20"/>
          <w:lang w:val="en-US"/>
        </w:rPr>
        <w:t xml:space="preserve">currently produce or manufacture goods in the </w:t>
      </w:r>
      <w:r w:rsidR="10781800" w:rsidRPr="041E5C19">
        <w:rPr>
          <w:rFonts w:ascii="DeutscheBank" w:eastAsia="DeutscheBank" w:hAnsi="DeutscheBank" w:cs="DeutscheBank"/>
          <w:sz w:val="20"/>
          <w:szCs w:val="20"/>
          <w:lang w:val="en-US"/>
        </w:rPr>
        <w:t>region</w:t>
      </w:r>
      <w:r w:rsidR="0663A744" w:rsidRPr="041E5C19">
        <w:rPr>
          <w:rFonts w:ascii="DeutscheBank" w:eastAsia="DeutscheBank" w:hAnsi="DeutscheBank" w:cs="DeutscheBank"/>
          <w:sz w:val="20"/>
          <w:szCs w:val="20"/>
          <w:lang w:val="en-US"/>
        </w:rPr>
        <w:t>.</w:t>
      </w:r>
    </w:p>
    <w:p w14:paraId="3C811F79" w14:textId="09654063" w:rsidR="0008751D" w:rsidRDefault="0008751D" w:rsidP="00435449">
      <w:pPr>
        <w:pStyle w:val="ListParagraph"/>
        <w:numPr>
          <w:ilvl w:val="0"/>
          <w:numId w:val="9"/>
        </w:numPr>
        <w:spacing w:after="130" w:line="284" w:lineRule="auto"/>
        <w:rPr>
          <w:rFonts w:ascii="DeutscheBank" w:eastAsia="DeutscheBank" w:hAnsi="DeutscheBank" w:cs="DeutscheBank"/>
          <w:sz w:val="20"/>
          <w:szCs w:val="20"/>
          <w:lang w:val="en-GB"/>
        </w:rPr>
      </w:pPr>
      <w:r w:rsidRPr="041E5C19">
        <w:rPr>
          <w:rFonts w:ascii="DeutscheBank" w:eastAsia="DeutscheBank" w:hAnsi="DeutscheBank" w:cs="DeutscheBank"/>
          <w:b/>
          <w:bCs/>
          <w:color w:val="1E2A78" w:themeColor="accent1"/>
          <w:sz w:val="20"/>
          <w:szCs w:val="20"/>
          <w:lang w:val="en-GB"/>
        </w:rPr>
        <w:t xml:space="preserve">Europe scores </w:t>
      </w:r>
      <w:r w:rsidR="002C5744" w:rsidRPr="041E5C19">
        <w:rPr>
          <w:rFonts w:ascii="DeutscheBank" w:eastAsia="DeutscheBank" w:hAnsi="DeutscheBank" w:cs="DeutscheBank"/>
          <w:b/>
          <w:bCs/>
          <w:color w:val="1E2A78" w:themeColor="accent1"/>
          <w:sz w:val="20"/>
          <w:szCs w:val="20"/>
          <w:lang w:val="en-GB"/>
        </w:rPr>
        <w:t xml:space="preserve">highly </w:t>
      </w:r>
      <w:r w:rsidRPr="041E5C19">
        <w:rPr>
          <w:rFonts w:ascii="DeutscheBank" w:eastAsia="DeutscheBank" w:hAnsi="DeutscheBank" w:cs="DeutscheBank"/>
          <w:b/>
          <w:bCs/>
          <w:color w:val="1E2A78" w:themeColor="accent1"/>
          <w:sz w:val="20"/>
          <w:szCs w:val="20"/>
          <w:lang w:val="en-GB"/>
        </w:rPr>
        <w:t>on growth and innovation</w:t>
      </w:r>
      <w:r w:rsidRPr="041E5C19">
        <w:rPr>
          <w:rFonts w:ascii="DeutscheBank" w:eastAsia="DeutscheBank" w:hAnsi="DeutscheBank" w:cs="DeutscheBank"/>
          <w:color w:val="000000" w:themeColor="text1"/>
          <w:sz w:val="20"/>
          <w:szCs w:val="20"/>
          <w:lang w:val="en-GB"/>
        </w:rPr>
        <w:t>.</w:t>
      </w:r>
      <w:r w:rsidR="00120A88" w:rsidRPr="041E5C19">
        <w:rPr>
          <w:rFonts w:ascii="DeutscheBank" w:eastAsia="DeutscheBank" w:hAnsi="DeutscheBank" w:cs="DeutscheBank"/>
          <w:color w:val="000000" w:themeColor="text1"/>
          <w:sz w:val="20"/>
          <w:szCs w:val="20"/>
          <w:lang w:val="en-GB"/>
        </w:rPr>
        <w:t xml:space="preserve"> </w:t>
      </w:r>
      <w:r w:rsidRPr="041E5C19">
        <w:rPr>
          <w:rFonts w:ascii="DeutscheBank" w:eastAsia="DeutscheBank" w:hAnsi="DeutscheBank" w:cs="DeutscheBank"/>
          <w:sz w:val="20"/>
          <w:szCs w:val="20"/>
          <w:lang w:val="en-GB"/>
        </w:rPr>
        <w:t>It</w:t>
      </w:r>
      <w:r w:rsidRPr="041E5C19">
        <w:rPr>
          <w:rFonts w:asciiTheme="minorHAnsi" w:eastAsiaTheme="minorEastAsia" w:hAnsiTheme="minorHAnsi" w:cstheme="minorBidi"/>
          <w:sz w:val="20"/>
          <w:szCs w:val="20"/>
          <w:lang w:val="en-GB"/>
        </w:rPr>
        <w:t xml:space="preserve">s </w:t>
      </w:r>
      <w:r w:rsidR="767D61FF" w:rsidRPr="041E5C19">
        <w:rPr>
          <w:rFonts w:asciiTheme="minorHAnsi" w:eastAsiaTheme="minorEastAsia" w:hAnsiTheme="minorHAnsi" w:cstheme="minorBidi"/>
          <w:sz w:val="20"/>
          <w:szCs w:val="20"/>
          <w:lang w:val="en-GB"/>
        </w:rPr>
        <w:t>main</w:t>
      </w:r>
      <w:r w:rsidRPr="041E5C19">
        <w:rPr>
          <w:rFonts w:ascii="DeutscheBank" w:eastAsia="DeutscheBank" w:hAnsi="DeutscheBank" w:cs="DeutscheBank"/>
          <w:color w:val="1E2A78" w:themeColor="accent1"/>
          <w:sz w:val="20"/>
          <w:szCs w:val="20"/>
          <w:lang w:val="en-GB"/>
        </w:rPr>
        <w:t xml:space="preserve"> </w:t>
      </w:r>
      <w:r w:rsidRPr="041E5C19">
        <w:rPr>
          <w:rFonts w:ascii="DeutscheBank" w:eastAsia="DeutscheBank" w:hAnsi="DeutscheBank" w:cs="DeutscheBank"/>
          <w:sz w:val="20"/>
          <w:szCs w:val="20"/>
          <w:lang w:val="en-GB"/>
        </w:rPr>
        <w:t>advantages over other regions are growth opportunities (74 percent) a</w:t>
      </w:r>
      <w:r w:rsidR="268B9DDE" w:rsidRPr="041E5C19">
        <w:rPr>
          <w:rFonts w:ascii="DeutscheBank" w:eastAsia="DeutscheBank" w:hAnsi="DeutscheBank" w:cs="DeutscheBank"/>
          <w:sz w:val="20"/>
          <w:szCs w:val="20"/>
          <w:lang w:val="en-GB"/>
        </w:rPr>
        <w:t>long with its capacity for</w:t>
      </w:r>
      <w:r w:rsidRPr="041E5C19">
        <w:rPr>
          <w:rFonts w:ascii="DeutscheBank" w:eastAsia="DeutscheBank" w:hAnsi="DeutscheBank" w:cs="DeutscheBank"/>
          <w:sz w:val="20"/>
          <w:szCs w:val="20"/>
          <w:lang w:val="en-GB"/>
        </w:rPr>
        <w:t xml:space="preserve"> innovation, </w:t>
      </w:r>
      <w:r w:rsidR="7E85EDB9" w:rsidRPr="041E5C19">
        <w:rPr>
          <w:rFonts w:ascii="DeutscheBank" w:eastAsia="DeutscheBank" w:hAnsi="DeutscheBank" w:cs="DeutscheBank"/>
          <w:sz w:val="20"/>
          <w:szCs w:val="20"/>
          <w:lang w:val="en-GB"/>
        </w:rPr>
        <w:t>particularly in combination with the potential of</w:t>
      </w:r>
      <w:r w:rsidRPr="041E5C19">
        <w:rPr>
          <w:rFonts w:ascii="DeutscheBank" w:eastAsia="DeutscheBank" w:hAnsi="DeutscheBank" w:cs="DeutscheBank"/>
          <w:sz w:val="20"/>
          <w:szCs w:val="20"/>
          <w:lang w:val="en-GB"/>
        </w:rPr>
        <w:t xml:space="preserve"> AI (71 per</w:t>
      </w:r>
      <w:r w:rsidR="00BC7E7B" w:rsidRPr="041E5C19">
        <w:rPr>
          <w:rFonts w:ascii="DeutscheBank" w:eastAsia="DeutscheBank" w:hAnsi="DeutscheBank" w:cs="DeutscheBank"/>
          <w:sz w:val="20"/>
          <w:szCs w:val="20"/>
          <w:lang w:val="en-GB"/>
        </w:rPr>
        <w:t>c</w:t>
      </w:r>
      <w:r w:rsidRPr="041E5C19">
        <w:rPr>
          <w:rFonts w:ascii="DeutscheBank" w:eastAsia="DeutscheBank" w:hAnsi="DeutscheBank" w:cs="DeutscheBank"/>
          <w:sz w:val="20"/>
          <w:szCs w:val="20"/>
          <w:lang w:val="en-GB"/>
        </w:rPr>
        <w:t xml:space="preserve">ent), ahead of international relationships (70 percent) and </w:t>
      </w:r>
      <w:r w:rsidR="5A5876A8" w:rsidRPr="041E5C19">
        <w:rPr>
          <w:rFonts w:ascii="DeutscheBank" w:eastAsia="DeutscheBank" w:hAnsi="DeutscheBank" w:cs="DeutscheBank"/>
          <w:sz w:val="20"/>
          <w:szCs w:val="20"/>
          <w:lang w:val="en-GB"/>
        </w:rPr>
        <w:t xml:space="preserve">economic and market </w:t>
      </w:r>
      <w:r w:rsidRPr="041E5C19">
        <w:rPr>
          <w:rFonts w:ascii="DeutscheBank" w:eastAsia="DeutscheBank" w:hAnsi="DeutscheBank" w:cs="DeutscheBank"/>
          <w:sz w:val="20"/>
          <w:szCs w:val="20"/>
          <w:lang w:val="en-GB"/>
        </w:rPr>
        <w:t>stability (68 percent).</w:t>
      </w:r>
    </w:p>
    <w:p w14:paraId="0F72A852" w14:textId="5A964BA2" w:rsidR="595DD7A0" w:rsidRDefault="595DD7A0" w:rsidP="00435449">
      <w:pPr>
        <w:pStyle w:val="ListParagraph"/>
        <w:numPr>
          <w:ilvl w:val="0"/>
          <w:numId w:val="9"/>
        </w:numPr>
        <w:spacing w:after="130" w:line="284" w:lineRule="auto"/>
        <w:rPr>
          <w:rFonts w:ascii="DeutscheBank" w:eastAsia="DeutscheBank" w:hAnsi="DeutscheBank" w:cs="DeutscheBank"/>
          <w:sz w:val="20"/>
          <w:szCs w:val="20"/>
          <w:lang w:val="en-GB"/>
        </w:rPr>
      </w:pPr>
      <w:r w:rsidRPr="00120A88">
        <w:rPr>
          <w:rFonts w:ascii="DeutscheBank" w:eastAsia="DeutscheBank" w:hAnsi="DeutscheBank" w:cs="DeutscheBank"/>
          <w:b/>
          <w:color w:val="1E2A78" w:themeColor="accent1"/>
          <w:sz w:val="20"/>
          <w:szCs w:val="20"/>
          <w:lang w:val="en-GB"/>
        </w:rPr>
        <w:t xml:space="preserve">Germany </w:t>
      </w:r>
      <w:r w:rsidR="00D4170A">
        <w:rPr>
          <w:rFonts w:ascii="DeutscheBank" w:eastAsia="DeutscheBank" w:hAnsi="DeutscheBank" w:cs="DeutscheBank"/>
          <w:b/>
          <w:color w:val="1E2A78" w:themeColor="accent1"/>
          <w:sz w:val="20"/>
          <w:szCs w:val="20"/>
          <w:lang w:val="en-GB"/>
        </w:rPr>
        <w:t>is</w:t>
      </w:r>
      <w:r w:rsidRPr="00120A88">
        <w:rPr>
          <w:rFonts w:ascii="DeutscheBank" w:eastAsia="DeutscheBank" w:hAnsi="DeutscheBank" w:cs="DeutscheBank"/>
          <w:b/>
          <w:color w:val="1E2A78" w:themeColor="accent1"/>
          <w:sz w:val="20"/>
          <w:szCs w:val="20"/>
          <w:lang w:val="en-GB"/>
        </w:rPr>
        <w:t xml:space="preserve"> Europe’s investment magnet.</w:t>
      </w:r>
      <w:r w:rsidRPr="00C7665A">
        <w:rPr>
          <w:rFonts w:ascii="DeutscheBank" w:eastAsia="DeutscheBank" w:hAnsi="DeutscheBank" w:cs="DeutscheBank"/>
          <w:b/>
          <w:color w:val="000000" w:themeColor="text1"/>
          <w:sz w:val="20"/>
          <w:szCs w:val="20"/>
          <w:lang w:val="en-GB"/>
        </w:rPr>
        <w:t xml:space="preserve"> </w:t>
      </w:r>
      <w:r w:rsidR="00B214E4" w:rsidRPr="00B022A4">
        <w:rPr>
          <w:rFonts w:ascii="DeutscheBank" w:eastAsia="DeutscheBank" w:hAnsi="DeutscheBank" w:cs="DeutscheBank"/>
          <w:color w:val="000000" w:themeColor="text1"/>
          <w:sz w:val="20"/>
          <w:szCs w:val="20"/>
          <w:lang w:val="en-GB"/>
        </w:rPr>
        <w:t xml:space="preserve">Some </w:t>
      </w:r>
      <w:r w:rsidRPr="592AC04D">
        <w:rPr>
          <w:rFonts w:ascii="DeutscheBank" w:eastAsia="DeutscheBank" w:hAnsi="DeutscheBank" w:cs="DeutscheBank"/>
          <w:sz w:val="20"/>
          <w:szCs w:val="20"/>
          <w:lang w:val="en-GB"/>
        </w:rPr>
        <w:t xml:space="preserve">56 percent name Germany among their top three European destinations and 29 percent as </w:t>
      </w:r>
      <w:r w:rsidR="00F846C6">
        <w:rPr>
          <w:rFonts w:ascii="DeutscheBank" w:eastAsia="DeutscheBank" w:hAnsi="DeutscheBank" w:cs="DeutscheBank"/>
          <w:sz w:val="20"/>
          <w:szCs w:val="20"/>
          <w:lang w:val="en-GB"/>
        </w:rPr>
        <w:t xml:space="preserve">their </w:t>
      </w:r>
      <w:r w:rsidRPr="592AC04D">
        <w:rPr>
          <w:rFonts w:ascii="DeutscheBank" w:eastAsia="DeutscheBank" w:hAnsi="DeutscheBank" w:cs="DeutscheBank"/>
          <w:sz w:val="20"/>
          <w:szCs w:val="20"/>
          <w:lang w:val="en-GB"/>
        </w:rPr>
        <w:t>first choice, ahead of the United Kingdom and France</w:t>
      </w:r>
      <w:r w:rsidR="003839F3">
        <w:rPr>
          <w:rFonts w:ascii="DeutscheBank" w:eastAsia="DeutscheBank" w:hAnsi="DeutscheBank" w:cs="DeutscheBank"/>
          <w:sz w:val="20"/>
          <w:szCs w:val="20"/>
          <w:lang w:val="en-GB"/>
        </w:rPr>
        <w:t>. Its advantage lies in performing strongly across a broad range of factors</w:t>
      </w:r>
      <w:r w:rsidRPr="592AC04D">
        <w:rPr>
          <w:rFonts w:ascii="DeutscheBank" w:eastAsia="DeutscheBank" w:hAnsi="DeutscheBank" w:cs="DeutscheBank"/>
          <w:sz w:val="20"/>
          <w:szCs w:val="20"/>
          <w:lang w:val="en-GB"/>
        </w:rPr>
        <w:t>.</w:t>
      </w:r>
    </w:p>
    <w:p w14:paraId="78EA9270" w14:textId="24A9A4B2" w:rsidR="595DD7A0" w:rsidRDefault="595DD7A0" w:rsidP="00435449">
      <w:pPr>
        <w:pStyle w:val="ListParagraph"/>
        <w:numPr>
          <w:ilvl w:val="0"/>
          <w:numId w:val="9"/>
        </w:numPr>
        <w:spacing w:after="130" w:line="284" w:lineRule="auto"/>
        <w:rPr>
          <w:rFonts w:ascii="DeutscheBank" w:eastAsia="DeutscheBank" w:hAnsi="DeutscheBank" w:cs="DeutscheBank"/>
          <w:sz w:val="20"/>
          <w:szCs w:val="20"/>
          <w:lang w:val="en-GB"/>
        </w:rPr>
      </w:pPr>
      <w:r w:rsidRPr="00120A88">
        <w:rPr>
          <w:rFonts w:ascii="DeutscheBank" w:eastAsia="DeutscheBank" w:hAnsi="DeutscheBank" w:cs="DeutscheBank"/>
          <w:b/>
          <w:color w:val="1E2A78" w:themeColor="accent1"/>
          <w:sz w:val="20"/>
          <w:szCs w:val="20"/>
          <w:lang w:val="en-GB"/>
        </w:rPr>
        <w:t>Europe’s biggest obstacle is Europe itself.</w:t>
      </w:r>
      <w:r w:rsidRPr="00C7665A">
        <w:rPr>
          <w:rFonts w:ascii="DeutscheBank" w:eastAsia="DeutscheBank" w:hAnsi="DeutscheBank" w:cs="DeutscheBank"/>
          <w:b/>
          <w:color w:val="000000" w:themeColor="text1"/>
          <w:sz w:val="20"/>
          <w:szCs w:val="20"/>
          <w:lang w:val="en-GB"/>
        </w:rPr>
        <w:t xml:space="preserve"> </w:t>
      </w:r>
      <w:r w:rsidRPr="592AC04D">
        <w:rPr>
          <w:rFonts w:ascii="DeutscheBank" w:eastAsia="DeutscheBank" w:hAnsi="DeutscheBank" w:cs="DeutscheBank"/>
          <w:sz w:val="20"/>
          <w:szCs w:val="20"/>
          <w:lang w:val="en-GB"/>
        </w:rPr>
        <w:t xml:space="preserve">Cross-border friction reduces </w:t>
      </w:r>
      <w:r w:rsidR="3CC54038" w:rsidRPr="6765BE50">
        <w:rPr>
          <w:rFonts w:ascii="DeutscheBank" w:eastAsia="DeutscheBank" w:hAnsi="DeutscheBank" w:cs="DeutscheBank"/>
          <w:sz w:val="20"/>
          <w:szCs w:val="20"/>
          <w:lang w:val="en-GB"/>
        </w:rPr>
        <w:t xml:space="preserve">Europe’s </w:t>
      </w:r>
      <w:r w:rsidRPr="592AC04D">
        <w:rPr>
          <w:rFonts w:ascii="DeutscheBank" w:eastAsia="DeutscheBank" w:hAnsi="DeutscheBank" w:cs="DeutscheBank"/>
          <w:sz w:val="20"/>
          <w:szCs w:val="20"/>
          <w:lang w:val="en-GB"/>
        </w:rPr>
        <w:t xml:space="preserve">attractiveness for 85 percent to some </w:t>
      </w:r>
      <w:r w:rsidR="1E6A0267" w:rsidRPr="71406B8D">
        <w:rPr>
          <w:rFonts w:ascii="DeutscheBank" w:eastAsia="DeutscheBank" w:hAnsi="DeutscheBank" w:cs="DeutscheBank"/>
          <w:sz w:val="20"/>
          <w:szCs w:val="20"/>
          <w:lang w:val="en-GB"/>
        </w:rPr>
        <w:t>extent</w:t>
      </w:r>
      <w:r w:rsidRPr="592AC04D">
        <w:rPr>
          <w:rFonts w:ascii="DeutscheBank" w:eastAsia="DeutscheBank" w:hAnsi="DeutscheBank" w:cs="DeutscheBank"/>
          <w:sz w:val="20"/>
          <w:szCs w:val="20"/>
          <w:lang w:val="en-GB"/>
        </w:rPr>
        <w:t xml:space="preserve">, and four factors – labour cost, tax </w:t>
      </w:r>
      <w:r w:rsidR="34783CF4" w:rsidRPr="39DD92DE">
        <w:rPr>
          <w:rFonts w:ascii="DeutscheBank" w:eastAsia="DeutscheBank" w:hAnsi="DeutscheBank" w:cs="DeutscheBank"/>
          <w:sz w:val="20"/>
          <w:szCs w:val="20"/>
          <w:lang w:val="en-GB"/>
        </w:rPr>
        <w:t>environment</w:t>
      </w:r>
      <w:r w:rsidRPr="592AC04D">
        <w:rPr>
          <w:rFonts w:ascii="DeutscheBank" w:eastAsia="DeutscheBank" w:hAnsi="DeutscheBank" w:cs="DeutscheBank"/>
          <w:sz w:val="20"/>
          <w:szCs w:val="20"/>
          <w:lang w:val="en-GB"/>
        </w:rPr>
        <w:t>, energy costs</w:t>
      </w:r>
      <w:r w:rsidR="6911726E" w:rsidRPr="39DD92DE">
        <w:rPr>
          <w:rFonts w:ascii="DeutscheBank" w:eastAsia="DeutscheBank" w:hAnsi="DeutscheBank" w:cs="DeutscheBank"/>
          <w:sz w:val="20"/>
          <w:szCs w:val="20"/>
          <w:lang w:val="en-GB"/>
        </w:rPr>
        <w:t>,</w:t>
      </w:r>
      <w:r w:rsidRPr="39DD92DE">
        <w:rPr>
          <w:rFonts w:ascii="DeutscheBank" w:eastAsia="DeutscheBank" w:hAnsi="DeutscheBank" w:cs="DeutscheBank"/>
          <w:sz w:val="20"/>
          <w:szCs w:val="20"/>
          <w:lang w:val="en-GB"/>
        </w:rPr>
        <w:t xml:space="preserve"> and </w:t>
      </w:r>
      <w:r w:rsidR="56812B4F" w:rsidRPr="39DD92DE">
        <w:rPr>
          <w:rFonts w:ascii="DeutscheBank" w:eastAsia="DeutscheBank" w:hAnsi="DeutscheBank" w:cs="DeutscheBank"/>
          <w:sz w:val="20"/>
          <w:szCs w:val="20"/>
          <w:lang w:val="en-GB"/>
        </w:rPr>
        <w:t>approval</w:t>
      </w:r>
      <w:r w:rsidRPr="592AC04D">
        <w:rPr>
          <w:rFonts w:ascii="DeutscheBank" w:eastAsia="DeutscheBank" w:hAnsi="DeutscheBank" w:cs="DeutscheBank"/>
          <w:sz w:val="20"/>
          <w:szCs w:val="20"/>
          <w:lang w:val="en-GB"/>
        </w:rPr>
        <w:t xml:space="preserve"> and permitting speed – stay below a 50 percent advantage. Simpler AI rules top investors' wish lists.</w:t>
      </w:r>
    </w:p>
    <w:p w14:paraId="70A2DF3E" w14:textId="42B5E906" w:rsidR="0008751D" w:rsidRDefault="595DD7A0" w:rsidP="00BF0BCE">
      <w:pPr>
        <w:pStyle w:val="ListParagraph"/>
        <w:numPr>
          <w:ilvl w:val="0"/>
          <w:numId w:val="9"/>
        </w:numPr>
        <w:spacing w:after="130" w:line="284" w:lineRule="auto"/>
        <w:rPr>
          <w:rFonts w:ascii="DeutscheBank" w:eastAsia="DeutscheBank" w:hAnsi="DeutscheBank" w:cs="DeutscheBank"/>
          <w:sz w:val="20"/>
          <w:szCs w:val="20"/>
          <w:lang w:val="en-GB"/>
        </w:rPr>
      </w:pPr>
      <w:r w:rsidRPr="73A9088C">
        <w:rPr>
          <w:rFonts w:ascii="DeutscheBank" w:eastAsia="DeutscheBank" w:hAnsi="DeutscheBank" w:cs="DeutscheBank"/>
          <w:b/>
          <w:bCs/>
          <w:color w:val="1E2A78" w:themeColor="accent1"/>
          <w:sz w:val="20"/>
          <w:szCs w:val="20"/>
          <w:lang w:val="en-GB"/>
        </w:rPr>
        <w:t xml:space="preserve">European banks </w:t>
      </w:r>
      <w:r w:rsidR="3076DAC1" w:rsidRPr="034F0201">
        <w:rPr>
          <w:rFonts w:ascii="DeutscheBank" w:eastAsia="DeutscheBank" w:hAnsi="DeutscheBank" w:cs="DeutscheBank"/>
          <w:b/>
          <w:bCs/>
          <w:color w:val="1E2A78" w:themeColor="accent1"/>
          <w:sz w:val="20"/>
          <w:szCs w:val="20"/>
          <w:lang w:val="en-GB"/>
        </w:rPr>
        <w:t>are the preferred partners</w:t>
      </w:r>
      <w:r w:rsidRPr="73A9088C">
        <w:rPr>
          <w:rFonts w:ascii="DeutscheBank" w:eastAsia="DeutscheBank" w:hAnsi="DeutscheBank" w:cs="DeutscheBank"/>
          <w:b/>
          <w:bCs/>
          <w:color w:val="1E2A78" w:themeColor="accent1"/>
          <w:sz w:val="20"/>
          <w:szCs w:val="20"/>
          <w:lang w:val="en-GB"/>
        </w:rPr>
        <w:t>.</w:t>
      </w:r>
      <w:r w:rsidRPr="73A9088C">
        <w:rPr>
          <w:rFonts w:ascii="DeutscheBank" w:eastAsia="DeutscheBank" w:hAnsi="DeutscheBank" w:cs="DeutscheBank"/>
          <w:b/>
          <w:bCs/>
          <w:color w:val="000000" w:themeColor="text1"/>
          <w:sz w:val="20"/>
          <w:szCs w:val="20"/>
          <w:lang w:val="en-GB"/>
        </w:rPr>
        <w:t xml:space="preserve"> </w:t>
      </w:r>
      <w:r w:rsidRPr="73A9088C">
        <w:rPr>
          <w:rFonts w:ascii="DeutscheBank" w:eastAsia="DeutscheBank" w:hAnsi="DeutscheBank" w:cs="DeutscheBank"/>
          <w:sz w:val="20"/>
          <w:szCs w:val="20"/>
          <w:lang w:val="en-GB"/>
        </w:rPr>
        <w:t>60 percent of respondents would prefer to work with a European bank. Financial strength is the most important factor when selecting a banking partner, closely followed by robust risk and compliance capabilities as well as local market and regulatory expertise.</w:t>
      </w:r>
    </w:p>
    <w:p w14:paraId="1E71CFB4" w14:textId="77777777" w:rsidR="00BF0BCE" w:rsidRPr="00BF0BCE" w:rsidRDefault="00BF0BCE" w:rsidP="00BF0BCE">
      <w:pPr>
        <w:pStyle w:val="ListParagraph"/>
        <w:numPr>
          <w:ilvl w:val="0"/>
          <w:numId w:val="0"/>
        </w:numPr>
        <w:spacing w:after="130" w:line="284" w:lineRule="auto"/>
        <w:ind w:left="360"/>
        <w:rPr>
          <w:rFonts w:ascii="DeutscheBank" w:eastAsia="DeutscheBank" w:hAnsi="DeutscheBank" w:cs="DeutscheBank"/>
          <w:sz w:val="20"/>
          <w:szCs w:val="20"/>
          <w:lang w:val="en-GB"/>
        </w:rPr>
      </w:pPr>
    </w:p>
    <w:p w14:paraId="1FC41AED" w14:textId="3285954A" w:rsidR="004F0E90" w:rsidRPr="00CE2073" w:rsidRDefault="6A8853A8" w:rsidP="5F675D6C">
      <w:pPr>
        <w:pStyle w:val="Heading1"/>
        <w:pageBreakBefore/>
        <w:numPr>
          <w:ilvl w:val="0"/>
          <w:numId w:val="0"/>
        </w:numPr>
        <w:ind w:left="432" w:hanging="432"/>
        <w:rPr>
          <w:rFonts w:ascii="DeutscheBank" w:hAnsi="DeutscheBank"/>
          <w:sz w:val="28"/>
          <w:szCs w:val="28"/>
          <w:lang w:val="en-GB"/>
        </w:rPr>
      </w:pPr>
      <w:bookmarkStart w:id="5" w:name="_Toc240474425"/>
      <w:r w:rsidRPr="5F675D6C">
        <w:rPr>
          <w:sz w:val="28"/>
          <w:szCs w:val="28"/>
          <w:lang w:val="en-GB"/>
        </w:rPr>
        <w:lastRenderedPageBreak/>
        <w:t>M</w:t>
      </w:r>
      <w:r w:rsidR="2DFF21A4" w:rsidRPr="00D4170A">
        <w:rPr>
          <w:sz w:val="28"/>
          <w:szCs w:val="28"/>
          <w:lang w:val="en-GB"/>
        </w:rPr>
        <w:t>ethodology</w:t>
      </w:r>
      <w:bookmarkEnd w:id="5"/>
    </w:p>
    <w:p w14:paraId="27E95489" w14:textId="69275FD3" w:rsidR="004F0E90" w:rsidRPr="00476F1D" w:rsidRDefault="2DFF21A4" w:rsidP="041E5C19">
      <w:pPr>
        <w:spacing w:after="150" w:line="288" w:lineRule="auto"/>
        <w:rPr>
          <w:rFonts w:asciiTheme="minorHAnsi" w:eastAsiaTheme="minorEastAsia" w:hAnsiTheme="minorHAnsi" w:cstheme="minorBidi"/>
          <w:strike/>
          <w:sz w:val="20"/>
          <w:szCs w:val="20"/>
          <w:highlight w:val="yellow"/>
          <w:lang w:val="en-GB"/>
        </w:rPr>
      </w:pPr>
      <w:r w:rsidRPr="041E5C19">
        <w:rPr>
          <w:rFonts w:asciiTheme="minorHAnsi" w:eastAsiaTheme="minorEastAsia" w:hAnsiTheme="minorHAnsi" w:cstheme="minorBidi"/>
          <w:sz w:val="20"/>
          <w:szCs w:val="20"/>
          <w:lang w:val="en-GB"/>
        </w:rPr>
        <w:t>This survey looks at Europe from the outside in. It asks international decision-makers who allocate capital – senior leaders at companies outside Europe that already invest there or plan to – how they see the region.</w:t>
      </w:r>
    </w:p>
    <w:p w14:paraId="786B8656" w14:textId="27F05628" w:rsidR="004F0E90" w:rsidRPr="00476F1D" w:rsidRDefault="2DFF21A4" w:rsidP="041E5C19">
      <w:pPr>
        <w:spacing w:line="300" w:lineRule="auto"/>
        <w:rPr>
          <w:rFonts w:asciiTheme="minorHAnsi" w:eastAsiaTheme="minorEastAsia" w:hAnsiTheme="minorHAnsi" w:cstheme="minorBidi"/>
          <w:sz w:val="20"/>
          <w:szCs w:val="20"/>
          <w:lang w:val="en-GB"/>
        </w:rPr>
      </w:pPr>
      <w:r w:rsidRPr="041E5C19">
        <w:rPr>
          <w:rFonts w:asciiTheme="minorHAnsi" w:eastAsiaTheme="minorEastAsia" w:hAnsiTheme="minorHAnsi" w:cstheme="minorBidi"/>
          <w:sz w:val="20"/>
          <w:szCs w:val="20"/>
          <w:lang w:val="en-GB"/>
        </w:rPr>
        <w:t>The Global Sentiment Survey on Europe 2026 was conducted as a business-to-business online survey in July and August 2026 among 1,200 senior decision-makers at companies with 100 or more employees. All participating companies are headquartered outside Europe, across 13 markets in three regions. The sample comprises 600 respondents from APAC –</w:t>
      </w:r>
      <w:r w:rsidR="6574BCA5" w:rsidRPr="041E5C19">
        <w:rPr>
          <w:rFonts w:asciiTheme="minorHAnsi" w:eastAsiaTheme="minorEastAsia" w:hAnsiTheme="minorHAnsi" w:cstheme="minorBidi"/>
          <w:sz w:val="20"/>
          <w:szCs w:val="20"/>
          <w:lang w:val="en-GB"/>
        </w:rPr>
        <w:t xml:space="preserve"> </w:t>
      </w:r>
      <w:r w:rsidRPr="041E5C19">
        <w:rPr>
          <w:rFonts w:asciiTheme="minorHAnsi" w:eastAsiaTheme="minorEastAsia" w:hAnsiTheme="minorHAnsi" w:cstheme="minorBidi"/>
          <w:sz w:val="20"/>
          <w:szCs w:val="20"/>
          <w:lang w:val="en-GB"/>
        </w:rPr>
        <w:t>China</w:t>
      </w:r>
      <w:r w:rsidR="5A570FCD" w:rsidRPr="041E5C19">
        <w:rPr>
          <w:rFonts w:asciiTheme="minorHAnsi" w:eastAsiaTheme="minorEastAsia" w:hAnsiTheme="minorHAnsi" w:cstheme="minorBidi"/>
          <w:sz w:val="20"/>
          <w:szCs w:val="20"/>
          <w:lang w:val="en-GB"/>
        </w:rPr>
        <w:t xml:space="preserve"> (including Hong Kong</w:t>
      </w:r>
      <w:r w:rsidRPr="041E5C19">
        <w:rPr>
          <w:rFonts w:asciiTheme="minorHAnsi" w:eastAsiaTheme="minorEastAsia" w:hAnsiTheme="minorHAnsi" w:cstheme="minorBidi"/>
          <w:sz w:val="20"/>
          <w:szCs w:val="20"/>
          <w:lang w:val="en-GB"/>
        </w:rPr>
        <w:t>,</w:t>
      </w:r>
      <w:r w:rsidR="1F91E090" w:rsidRPr="041E5C19">
        <w:rPr>
          <w:rFonts w:asciiTheme="minorHAnsi" w:eastAsiaTheme="minorEastAsia" w:hAnsiTheme="minorHAnsi" w:cstheme="minorBidi"/>
          <w:sz w:val="20"/>
          <w:szCs w:val="20"/>
          <w:lang w:val="en-GB"/>
        </w:rPr>
        <w:t xml:space="preserve"> </w:t>
      </w:r>
      <w:r w:rsidR="58464D77" w:rsidRPr="041E5C19">
        <w:rPr>
          <w:rFonts w:ascii="Segoe UI" w:eastAsia="Segoe UI" w:hAnsi="Segoe UI" w:cs="Segoe UI"/>
          <w:lang w:val="en-GB"/>
        </w:rPr>
        <w:t>references to China throughout this report include Hong Kong</w:t>
      </w:r>
      <w:r w:rsidR="1F91E090" w:rsidRPr="041E5C19">
        <w:rPr>
          <w:rFonts w:asciiTheme="minorHAnsi" w:eastAsiaTheme="minorEastAsia" w:hAnsiTheme="minorHAnsi" w:cstheme="minorBidi"/>
          <w:sz w:val="20"/>
          <w:szCs w:val="20"/>
          <w:lang w:val="en-GB"/>
        </w:rPr>
        <w:t>),</w:t>
      </w:r>
      <w:r w:rsidRPr="041E5C19">
        <w:rPr>
          <w:rFonts w:asciiTheme="minorHAnsi" w:eastAsiaTheme="minorEastAsia" w:hAnsiTheme="minorHAnsi" w:cstheme="minorBidi"/>
          <w:sz w:val="20"/>
          <w:szCs w:val="20"/>
          <w:lang w:val="en-GB"/>
        </w:rPr>
        <w:t xml:space="preserve"> Japan, Singapore, India, Australia, South Korea and Taiwan – 400 from the Americas – the US, Canada, Brazil and Mexico – and 200 from the Middle East –</w:t>
      </w:r>
      <w:r w:rsidR="752B43FB" w:rsidRPr="041E5C19">
        <w:rPr>
          <w:rFonts w:asciiTheme="minorHAnsi" w:eastAsiaTheme="minorEastAsia" w:hAnsiTheme="minorHAnsi" w:cstheme="minorBidi"/>
          <w:sz w:val="20"/>
          <w:szCs w:val="20"/>
          <w:lang w:val="en-GB"/>
        </w:rPr>
        <w:t xml:space="preserve"> </w:t>
      </w:r>
      <w:r w:rsidRPr="041E5C19">
        <w:rPr>
          <w:rFonts w:asciiTheme="minorHAnsi" w:eastAsiaTheme="minorEastAsia" w:hAnsiTheme="minorHAnsi" w:cstheme="minorBidi"/>
          <w:sz w:val="20"/>
          <w:szCs w:val="20"/>
          <w:lang w:val="en-GB"/>
        </w:rPr>
        <w:t xml:space="preserve">the United Arab Emirates and Saudi Arabia. </w:t>
      </w:r>
    </w:p>
    <w:p w14:paraId="54373469" w14:textId="0D538544" w:rsidR="004F0E90" w:rsidRPr="00476F1D" w:rsidRDefault="2DFF21A4" w:rsidP="5F675D6C">
      <w:pPr>
        <w:spacing w:after="150" w:line="288" w:lineRule="auto"/>
        <w:rPr>
          <w:rFonts w:ascii="DeutscheBank" w:eastAsia="DeutscheBank" w:hAnsi="DeutscheBank" w:cs="DeutscheBank"/>
          <w:sz w:val="20"/>
          <w:szCs w:val="20"/>
          <w:lang w:val="en-GB"/>
        </w:rPr>
      </w:pPr>
      <w:r w:rsidRPr="041E5C19">
        <w:rPr>
          <w:rFonts w:asciiTheme="minorHAnsi" w:eastAsiaTheme="minorEastAsia" w:hAnsiTheme="minorHAnsi" w:cstheme="minorBidi"/>
          <w:sz w:val="20"/>
          <w:szCs w:val="20"/>
          <w:lang w:val="en-GB"/>
        </w:rPr>
        <w:t xml:space="preserve">Respondents were admitted through several screening criteria, so that the survey captures informed, decision-relevant views rather than general opinion. </w:t>
      </w:r>
      <w:r w:rsidR="70602B2C" w:rsidRPr="041E5C19">
        <w:rPr>
          <w:rFonts w:asciiTheme="minorHAnsi" w:eastAsiaTheme="minorEastAsia" w:hAnsiTheme="minorHAnsi" w:cstheme="minorBidi"/>
          <w:sz w:val="20"/>
          <w:szCs w:val="20"/>
          <w:lang w:val="en-GB"/>
        </w:rPr>
        <w:t>Only</w:t>
      </w:r>
      <w:r w:rsidRPr="041E5C19">
        <w:rPr>
          <w:rFonts w:asciiTheme="minorHAnsi" w:eastAsiaTheme="minorEastAsia" w:hAnsiTheme="minorHAnsi" w:cstheme="minorBidi"/>
          <w:sz w:val="20"/>
          <w:szCs w:val="20"/>
          <w:lang w:val="en-GB"/>
        </w:rPr>
        <w:t xml:space="preserve"> senior leaders with genuine strategic or financial responsibility qualified. The decisive filter was Europe experience: only companies that already invest or operate in Europe, or that are </w:t>
      </w:r>
      <w:r w:rsidR="556EF0AF" w:rsidRPr="041E5C19">
        <w:rPr>
          <w:rFonts w:asciiTheme="minorHAnsi" w:eastAsiaTheme="minorEastAsia" w:hAnsiTheme="minorHAnsi" w:cstheme="minorBidi"/>
          <w:sz w:val="20"/>
          <w:szCs w:val="20"/>
          <w:lang w:val="en-GB"/>
        </w:rPr>
        <w:t xml:space="preserve">planning or </w:t>
      </w:r>
      <w:r w:rsidRPr="041E5C19">
        <w:rPr>
          <w:rFonts w:asciiTheme="minorHAnsi" w:eastAsiaTheme="minorEastAsia" w:hAnsiTheme="minorHAnsi" w:cstheme="minorBidi"/>
          <w:sz w:val="20"/>
          <w:szCs w:val="20"/>
          <w:lang w:val="en-GB"/>
        </w:rPr>
        <w:t>actively considering entry within the next five years, were included.</w:t>
      </w:r>
    </w:p>
    <w:p w14:paraId="61E9F814" w14:textId="3EE2E353" w:rsidR="004F0E90" w:rsidRPr="00CE2073" w:rsidRDefault="2DFF21A4" w:rsidP="041E5C19">
      <w:pPr>
        <w:spacing w:after="150"/>
        <w:rPr>
          <w:rFonts w:asciiTheme="majorHAnsi" w:hAnsiTheme="majorHAnsi"/>
          <w:sz w:val="28"/>
          <w:szCs w:val="28"/>
          <w:lang w:val="en-GB"/>
        </w:rPr>
      </w:pPr>
      <w:r w:rsidRPr="041E5C19">
        <w:rPr>
          <w:rFonts w:ascii="DeutscheBank" w:hAnsi="DeutscheBank"/>
          <w:b/>
          <w:bCs/>
          <w:sz w:val="20"/>
          <w:szCs w:val="20"/>
          <w:lang w:val="en-GB"/>
        </w:rPr>
        <w:t>Reading the findings</w:t>
      </w:r>
    </w:p>
    <w:p w14:paraId="438E5F67" w14:textId="1EE953F4" w:rsidR="004F0E90" w:rsidRPr="00476F1D" w:rsidRDefault="2DFF21A4" w:rsidP="5F675D6C">
      <w:pPr>
        <w:spacing w:after="150" w:line="288" w:lineRule="auto"/>
        <w:rPr>
          <w:rFonts w:ascii="DeutscheBank" w:eastAsia="DeutscheBank" w:hAnsi="DeutscheBank" w:cs="DeutscheBank"/>
          <w:sz w:val="20"/>
          <w:szCs w:val="20"/>
          <w:lang w:val="en-GB"/>
        </w:rPr>
      </w:pPr>
      <w:r w:rsidRPr="00476F1D">
        <w:rPr>
          <w:rFonts w:asciiTheme="minorHAnsi" w:eastAsiaTheme="minorEastAsia" w:hAnsiTheme="minorHAnsi" w:cstheme="minorBidi"/>
          <w:sz w:val="20"/>
          <w:szCs w:val="20"/>
          <w:lang w:val="en-GB"/>
        </w:rPr>
        <w:t>Within this defined group, the results provide a relevant picture of how internationally active decision-makers view Europe. They should not, however, be read as representative of all companies in the 13 markets surveyed. Three limitations are important:</w:t>
      </w:r>
    </w:p>
    <w:p w14:paraId="75C910FC" w14:textId="358A44A5" w:rsidR="004F0E90" w:rsidRPr="00476F1D" w:rsidRDefault="2DFF21A4" w:rsidP="5F675D6C">
      <w:pPr>
        <w:pStyle w:val="ListParagraph"/>
        <w:numPr>
          <w:ilvl w:val="0"/>
          <w:numId w:val="8"/>
        </w:numPr>
        <w:spacing w:after="150" w:line="288" w:lineRule="auto"/>
        <w:rPr>
          <w:rFonts w:ascii="DeutscheBank" w:eastAsia="DeutscheBank" w:hAnsi="DeutscheBank" w:cs="DeutscheBank"/>
          <w:sz w:val="20"/>
          <w:szCs w:val="20"/>
          <w:lang w:val="en-GB"/>
        </w:rPr>
      </w:pPr>
      <w:r w:rsidRPr="041E5C19">
        <w:rPr>
          <w:rFonts w:asciiTheme="minorHAnsi" w:eastAsiaTheme="minorEastAsia" w:hAnsiTheme="minorHAnsi" w:cstheme="minorBidi"/>
          <w:sz w:val="20"/>
          <w:szCs w:val="20"/>
          <w:lang w:val="en-GB"/>
        </w:rPr>
        <w:t xml:space="preserve">The sample is deliberately pre-selected. Respondents were filtered on seniority, size and, above all, on existing or planned engagement in Europe, so the audience is intentionally focused on companies </w:t>
      </w:r>
      <w:r w:rsidR="63C95E96" w:rsidRPr="041E5C19">
        <w:rPr>
          <w:rFonts w:asciiTheme="minorHAnsi" w:eastAsiaTheme="minorEastAsia" w:hAnsiTheme="minorHAnsi" w:cstheme="minorBidi"/>
          <w:sz w:val="20"/>
          <w:szCs w:val="20"/>
          <w:lang w:val="en-GB"/>
        </w:rPr>
        <w:t xml:space="preserve">already invested in Europe or </w:t>
      </w:r>
      <w:r w:rsidR="1BF63412" w:rsidRPr="041E5C19">
        <w:rPr>
          <w:rFonts w:asciiTheme="minorHAnsi" w:eastAsiaTheme="minorEastAsia" w:hAnsiTheme="minorHAnsi" w:cstheme="minorBidi"/>
          <w:sz w:val="20"/>
          <w:szCs w:val="20"/>
          <w:lang w:val="en-GB"/>
        </w:rPr>
        <w:t>those planning to</w:t>
      </w:r>
      <w:r w:rsidRPr="041E5C19">
        <w:rPr>
          <w:rFonts w:asciiTheme="minorHAnsi" w:eastAsiaTheme="minorEastAsia" w:hAnsiTheme="minorHAnsi" w:cstheme="minorBidi"/>
          <w:sz w:val="20"/>
          <w:szCs w:val="20"/>
          <w:lang w:val="en-GB"/>
        </w:rPr>
        <w:t>.</w:t>
      </w:r>
    </w:p>
    <w:p w14:paraId="2D0EF6DE" w14:textId="2301880F" w:rsidR="004F0E90" w:rsidRPr="00476F1D" w:rsidRDefault="2DFF21A4" w:rsidP="5F675D6C">
      <w:pPr>
        <w:pStyle w:val="ListParagraph"/>
        <w:numPr>
          <w:ilvl w:val="0"/>
          <w:numId w:val="8"/>
        </w:numPr>
        <w:spacing w:after="150" w:line="288" w:lineRule="auto"/>
        <w:rPr>
          <w:rFonts w:ascii="DeutscheBank" w:eastAsia="DeutscheBank" w:hAnsi="DeutscheBank" w:cs="DeutscheBank"/>
          <w:sz w:val="20"/>
          <w:szCs w:val="20"/>
          <w:lang w:val="en-GB"/>
        </w:rPr>
      </w:pPr>
      <w:r w:rsidRPr="00476F1D">
        <w:rPr>
          <w:rFonts w:asciiTheme="minorHAnsi" w:eastAsiaTheme="minorEastAsia" w:hAnsiTheme="minorHAnsi" w:cstheme="minorBidi"/>
          <w:sz w:val="20"/>
          <w:szCs w:val="20"/>
          <w:lang w:val="en-GB"/>
        </w:rPr>
        <w:t>Economic areas are represented by defined markets, not in full. Regional figures describe the surveyed markets rather than an entire continent or economic area.</w:t>
      </w:r>
    </w:p>
    <w:p w14:paraId="6DB54E9B" w14:textId="11C7E6BC" w:rsidR="004F0E90" w:rsidRPr="00476F1D" w:rsidRDefault="2DFF21A4" w:rsidP="5F675D6C">
      <w:pPr>
        <w:pStyle w:val="ListParagraph"/>
        <w:numPr>
          <w:ilvl w:val="0"/>
          <w:numId w:val="8"/>
        </w:numPr>
        <w:spacing w:after="150" w:line="288" w:lineRule="auto"/>
        <w:rPr>
          <w:rFonts w:asciiTheme="minorHAnsi" w:eastAsiaTheme="minorEastAsia" w:hAnsiTheme="minorHAnsi" w:cstheme="minorBidi"/>
          <w:strike/>
          <w:sz w:val="20"/>
          <w:szCs w:val="20"/>
          <w:lang w:val="en-GB"/>
        </w:rPr>
      </w:pPr>
      <w:r w:rsidRPr="00476F1D">
        <w:rPr>
          <w:rFonts w:asciiTheme="minorHAnsi" w:eastAsiaTheme="minorEastAsia" w:hAnsiTheme="minorHAnsi" w:cstheme="minorBidi"/>
          <w:sz w:val="20"/>
          <w:szCs w:val="20"/>
          <w:lang w:val="en-GB"/>
        </w:rPr>
        <w:t>Larger companies are over-represented and results are reported unweighted. About 71 percent of respondents come from companies with 500 or more employees</w:t>
      </w:r>
      <w:r w:rsidR="2E32FF4D" w:rsidRPr="5F675D6C">
        <w:rPr>
          <w:rFonts w:asciiTheme="minorHAnsi" w:eastAsiaTheme="minorEastAsia" w:hAnsiTheme="minorHAnsi" w:cstheme="minorBidi"/>
          <w:sz w:val="20"/>
          <w:szCs w:val="20"/>
          <w:lang w:val="en-GB"/>
        </w:rPr>
        <w:t>.</w:t>
      </w:r>
    </w:p>
    <w:p w14:paraId="4E36C324" w14:textId="4214A0D9" w:rsidR="004F0E90" w:rsidRPr="00CE2073" w:rsidRDefault="2DFF21A4" w:rsidP="041E5C19">
      <w:pPr>
        <w:pStyle w:val="Title"/>
        <w:spacing w:line="276" w:lineRule="auto"/>
        <w:rPr>
          <w:rFonts w:asciiTheme="minorHAnsi" w:eastAsiaTheme="minorEastAsia" w:hAnsiTheme="minorHAnsi" w:cstheme="minorBidi"/>
          <w:sz w:val="20"/>
          <w:szCs w:val="20"/>
          <w:lang w:val="en-GB"/>
        </w:rPr>
      </w:pPr>
      <w:r w:rsidRPr="041E5C19">
        <w:rPr>
          <w:rFonts w:asciiTheme="minorHAnsi" w:eastAsiaTheme="minorEastAsia" w:hAnsiTheme="minorHAnsi" w:cstheme="minorBidi"/>
          <w:b w:val="0"/>
          <w:color w:val="222222"/>
          <w:sz w:val="20"/>
          <w:szCs w:val="20"/>
          <w:lang w:val="en-GB"/>
        </w:rPr>
        <w:t>With these limitations in mind, the data provides a robust picture of</w:t>
      </w:r>
      <w:r w:rsidR="33FBABF0" w:rsidRPr="041E5C19">
        <w:rPr>
          <w:rFonts w:asciiTheme="minorHAnsi" w:eastAsiaTheme="minorEastAsia" w:hAnsiTheme="minorHAnsi" w:cstheme="minorBidi"/>
          <w:b w:val="0"/>
          <w:color w:val="222222"/>
          <w:sz w:val="20"/>
          <w:szCs w:val="20"/>
          <w:lang w:val="en-GB"/>
        </w:rPr>
        <w:t xml:space="preserve"> how international investors view Europe</w:t>
      </w:r>
      <w:r w:rsidRPr="041E5C19">
        <w:rPr>
          <w:rFonts w:asciiTheme="minorHAnsi" w:eastAsiaTheme="minorEastAsia" w:hAnsiTheme="minorHAnsi" w:cstheme="minorBidi"/>
          <w:b w:val="0"/>
          <w:color w:val="222222"/>
          <w:sz w:val="20"/>
          <w:szCs w:val="20"/>
          <w:lang w:val="en-GB"/>
        </w:rPr>
        <w:t xml:space="preserve">. Unless stated otherwise, figures relate to all 1,200 respondents. The margin of error for the full sample is approximately plus or minus three percentage points. </w:t>
      </w:r>
    </w:p>
    <w:p w14:paraId="6EE29E56" w14:textId="071BC67B" w:rsidR="004F0E90" w:rsidRPr="00CE2073" w:rsidRDefault="004F0E90" w:rsidP="5F675D6C">
      <w:pPr>
        <w:pStyle w:val="Title"/>
        <w:rPr>
          <w:sz w:val="28"/>
          <w:szCs w:val="28"/>
          <w:lang w:val="en-GB"/>
        </w:rPr>
      </w:pPr>
    </w:p>
    <w:p w14:paraId="1F7D6FA1" w14:textId="0A1457FC" w:rsidR="004F0E90" w:rsidRPr="00CE2073" w:rsidRDefault="004F0E90" w:rsidP="5F675D6C">
      <w:pPr>
        <w:pStyle w:val="Title"/>
        <w:rPr>
          <w:sz w:val="28"/>
          <w:szCs w:val="28"/>
          <w:lang w:val="en-GB"/>
        </w:rPr>
      </w:pPr>
    </w:p>
    <w:p w14:paraId="5080D37A" w14:textId="11776CD5" w:rsidR="004F0E90" w:rsidRPr="00CE2073" w:rsidRDefault="004F0E90" w:rsidP="5F675D6C">
      <w:pPr>
        <w:pStyle w:val="Title"/>
        <w:rPr>
          <w:sz w:val="28"/>
          <w:szCs w:val="28"/>
          <w:lang w:val="en-GB"/>
        </w:rPr>
      </w:pPr>
    </w:p>
    <w:p w14:paraId="7E13D9C3" w14:textId="7B566D3A" w:rsidR="004F0E90" w:rsidRPr="00CE2073" w:rsidRDefault="004F0E90" w:rsidP="5F675D6C">
      <w:pPr>
        <w:pStyle w:val="Title"/>
        <w:rPr>
          <w:sz w:val="28"/>
          <w:szCs w:val="28"/>
          <w:lang w:val="en-GB"/>
        </w:rPr>
      </w:pPr>
    </w:p>
    <w:p w14:paraId="2450104B" w14:textId="27F18887" w:rsidR="004F0E90" w:rsidRPr="00CE2073" w:rsidRDefault="004F0E90" w:rsidP="5F675D6C">
      <w:pPr>
        <w:pStyle w:val="Title"/>
        <w:rPr>
          <w:sz w:val="28"/>
          <w:szCs w:val="28"/>
          <w:lang w:val="en-GB"/>
        </w:rPr>
      </w:pPr>
    </w:p>
    <w:p w14:paraId="73DC5F50" w14:textId="136E3B1D" w:rsidR="004F0E90" w:rsidRPr="00CE2073" w:rsidRDefault="004F0E90" w:rsidP="5F675D6C">
      <w:pPr>
        <w:pStyle w:val="Title"/>
        <w:rPr>
          <w:sz w:val="28"/>
          <w:szCs w:val="28"/>
          <w:lang w:val="en-GB"/>
        </w:rPr>
      </w:pPr>
    </w:p>
    <w:p w14:paraId="00B05A2A" w14:textId="77777777" w:rsidR="00497FA8" w:rsidRDefault="00497FA8" w:rsidP="00497FA8">
      <w:pPr>
        <w:rPr>
          <w:lang w:val="en-GB"/>
        </w:rPr>
      </w:pPr>
    </w:p>
    <w:p w14:paraId="254192C2" w14:textId="77777777" w:rsidR="00497FA8" w:rsidRDefault="00497FA8" w:rsidP="00497FA8">
      <w:pPr>
        <w:rPr>
          <w:lang w:val="en-GB"/>
        </w:rPr>
      </w:pPr>
    </w:p>
    <w:p w14:paraId="762A7D06" w14:textId="77777777" w:rsidR="00497FA8" w:rsidRPr="00497FA8" w:rsidRDefault="00497FA8" w:rsidP="00497FA8">
      <w:pPr>
        <w:rPr>
          <w:lang w:val="en-GB"/>
        </w:rPr>
      </w:pPr>
    </w:p>
    <w:p w14:paraId="0C943650" w14:textId="063B59CC" w:rsidR="004F0E90" w:rsidRPr="00FF3CF1" w:rsidRDefault="0008751D" w:rsidP="00FF3CF1">
      <w:pPr>
        <w:pStyle w:val="Heading1"/>
        <w:pageBreakBefore/>
        <w:numPr>
          <w:ilvl w:val="0"/>
          <w:numId w:val="0"/>
        </w:numPr>
        <w:jc w:val="both"/>
        <w:rPr>
          <w:rFonts w:ascii="DeutscheBank" w:hAnsi="DeutscheBank"/>
          <w:sz w:val="28"/>
          <w:szCs w:val="28"/>
          <w:lang w:val="en-GB"/>
        </w:rPr>
      </w:pPr>
      <w:bookmarkStart w:id="6" w:name="_Toc239930521"/>
      <w:bookmarkStart w:id="7" w:name="_Toc240474426"/>
      <w:r w:rsidRPr="00FF3CF1">
        <w:rPr>
          <w:rFonts w:ascii="DeutscheBank" w:hAnsi="DeutscheBank"/>
          <w:sz w:val="28"/>
          <w:szCs w:val="28"/>
          <w:lang w:val="en-GB"/>
        </w:rPr>
        <w:lastRenderedPageBreak/>
        <w:t>Detailed survey findings</w:t>
      </w:r>
      <w:bookmarkStart w:id="8" w:name="_Toc239930522"/>
      <w:bookmarkEnd w:id="6"/>
      <w:bookmarkEnd w:id="7"/>
    </w:p>
    <w:p w14:paraId="05879BC4" w14:textId="22CE7A9A" w:rsidR="0008751D" w:rsidRPr="00CE2073" w:rsidRDefault="0008751D" w:rsidP="004F0E90">
      <w:pPr>
        <w:pStyle w:val="Heading1"/>
        <w:rPr>
          <w:sz w:val="28"/>
          <w:szCs w:val="28"/>
          <w:lang w:val="en-GB"/>
        </w:rPr>
      </w:pPr>
      <w:bookmarkStart w:id="9" w:name="_Toc240474427"/>
      <w:r w:rsidRPr="00CE2073">
        <w:rPr>
          <w:sz w:val="28"/>
          <w:szCs w:val="28"/>
          <w:lang w:val="en-GB"/>
        </w:rPr>
        <w:t>Europe</w:t>
      </w:r>
      <w:r w:rsidR="00E81BA1" w:rsidRPr="00CE2073">
        <w:rPr>
          <w:sz w:val="28"/>
          <w:szCs w:val="28"/>
          <w:lang w:val="en-GB"/>
        </w:rPr>
        <w:t xml:space="preserve"> offers a strong</w:t>
      </w:r>
      <w:r w:rsidRPr="00CE2073">
        <w:rPr>
          <w:sz w:val="28"/>
          <w:szCs w:val="28"/>
          <w:lang w:val="en-GB"/>
        </w:rPr>
        <w:t xml:space="preserve"> investment case</w:t>
      </w:r>
      <w:bookmarkEnd w:id="8"/>
      <w:bookmarkEnd w:id="9"/>
    </w:p>
    <w:p w14:paraId="4F84FE98" w14:textId="7EE72F1F" w:rsidR="0008751D" w:rsidRPr="00EA5CB7" w:rsidRDefault="0008751D" w:rsidP="00EA5CB7">
      <w:pPr>
        <w:spacing w:after="150" w:line="288" w:lineRule="auto"/>
        <w:rPr>
          <w:rFonts w:ascii="DeutscheBank" w:hAnsi="DeutscheBank"/>
          <w:sz w:val="20"/>
          <w:szCs w:val="20"/>
          <w:lang w:val="en-GB"/>
        </w:rPr>
      </w:pPr>
      <w:r w:rsidRPr="006A0B8C">
        <w:rPr>
          <w:rFonts w:ascii="DeutscheBank" w:hAnsi="DeutscheBank"/>
          <w:sz w:val="20"/>
          <w:szCs w:val="20"/>
          <w:lang w:val="en-GB"/>
        </w:rPr>
        <w:t xml:space="preserve">Asked as part of this survey how they view Europe as a place to invest, senior leaders describe a region that is widely attractive, growing in importance and valued for its stability. This first chapter sets out the evidence for that confidence. </w:t>
      </w:r>
    </w:p>
    <w:p w14:paraId="3C27E0C4" w14:textId="77777777" w:rsidR="0008751D" w:rsidRPr="00C90D62" w:rsidRDefault="0008751D" w:rsidP="0008751D">
      <w:pPr>
        <w:spacing w:before="40" w:after="90"/>
        <w:jc w:val="both"/>
        <w:rPr>
          <w:rFonts w:ascii="DeutscheBank" w:hAnsi="DeutscheBank"/>
          <w:lang w:val="en-US"/>
        </w:rPr>
      </w:pPr>
      <w:r w:rsidRPr="00C90D62">
        <w:rPr>
          <w:rFonts w:ascii="DeutscheBank" w:hAnsi="DeutscheBank"/>
          <w:b/>
          <w:caps/>
          <w:color w:val="5A6472"/>
          <w:sz w:val="18"/>
          <w:szCs w:val="18"/>
          <w:lang w:val="en-US"/>
        </w:rPr>
        <w:t>At a glance</w:t>
      </w:r>
    </w:p>
    <w:tbl>
      <w:tblPr>
        <w:tblW w:w="9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11"/>
        <w:gridCol w:w="3118"/>
        <w:gridCol w:w="2835"/>
      </w:tblGrid>
      <w:tr w:rsidR="0008751D" w:rsidRPr="00C66C08" w14:paraId="7F70015C" w14:textId="77777777" w:rsidTr="00313314">
        <w:trPr>
          <w:trHeight w:val="300"/>
        </w:trPr>
        <w:tc>
          <w:tcPr>
            <w:tcW w:w="311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60E686FC" w14:textId="77777777" w:rsidR="0008751D" w:rsidRPr="001E5405" w:rsidRDefault="0008751D" w:rsidP="009C2716">
            <w:pPr>
              <w:spacing w:after="40"/>
              <w:jc w:val="both"/>
              <w:rPr>
                <w:rFonts w:ascii="DeutscheBank" w:hAnsi="DeutscheBank"/>
                <w:lang w:val="en-GB"/>
              </w:rPr>
            </w:pPr>
            <w:r w:rsidRPr="001E5405">
              <w:rPr>
                <w:rFonts w:ascii="DeutscheBank" w:hAnsi="DeutscheBank"/>
                <w:b/>
                <w:bCs/>
                <w:color w:val="0069B1"/>
                <w:sz w:val="30"/>
                <w:szCs w:val="30"/>
                <w:lang w:val="en-GB"/>
              </w:rPr>
              <w:t>90%</w:t>
            </w:r>
          </w:p>
          <w:p w14:paraId="06D54BD7" w14:textId="77777777" w:rsidR="0008751D" w:rsidRPr="001E5405" w:rsidRDefault="0008751D" w:rsidP="002D3FEB">
            <w:pPr>
              <w:rPr>
                <w:rFonts w:ascii="DeutscheBank" w:hAnsi="DeutscheBank"/>
                <w:lang w:val="en-GB"/>
              </w:rPr>
            </w:pPr>
            <w:r w:rsidRPr="001E5405">
              <w:rPr>
                <w:rFonts w:ascii="DeutscheBank" w:hAnsi="DeutscheBank"/>
                <w:color w:val="5A6472"/>
                <w:sz w:val="16"/>
                <w:szCs w:val="16"/>
                <w:lang w:val="en-GB"/>
              </w:rPr>
              <w:t>rank Europe among their Top 3 regions</w:t>
            </w:r>
          </w:p>
        </w:tc>
        <w:tc>
          <w:tcPr>
            <w:tcW w:w="311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3FCB25DC" w14:textId="77777777" w:rsidR="0008751D" w:rsidRPr="001E5405" w:rsidRDefault="0008751D" w:rsidP="009C2716">
            <w:pPr>
              <w:spacing w:after="40"/>
              <w:jc w:val="both"/>
              <w:rPr>
                <w:rFonts w:ascii="DeutscheBank" w:hAnsi="DeutscheBank"/>
                <w:lang w:val="en-GB"/>
              </w:rPr>
            </w:pPr>
            <w:r w:rsidRPr="5F675D6C">
              <w:rPr>
                <w:rFonts w:ascii="DeutscheBank" w:hAnsi="DeutscheBank"/>
                <w:b/>
                <w:color w:val="0069B1" w:themeColor="accent2"/>
                <w:sz w:val="30"/>
                <w:szCs w:val="30"/>
                <w:lang w:val="en-GB"/>
              </w:rPr>
              <w:t>35%</w:t>
            </w:r>
          </w:p>
          <w:p w14:paraId="6F784FF2" w14:textId="77777777" w:rsidR="0008751D" w:rsidRPr="001E5405" w:rsidRDefault="0008751D" w:rsidP="002D3FEB">
            <w:pPr>
              <w:rPr>
                <w:rFonts w:ascii="DeutscheBank" w:hAnsi="DeutscheBank"/>
                <w:lang w:val="en-GB"/>
              </w:rPr>
            </w:pPr>
            <w:r w:rsidRPr="001E5405">
              <w:rPr>
                <w:rFonts w:ascii="DeutscheBank" w:hAnsi="DeutscheBank"/>
                <w:color w:val="5A6472"/>
                <w:sz w:val="16"/>
                <w:szCs w:val="16"/>
                <w:lang w:val="en-GB"/>
              </w:rPr>
              <w:t>place Europe as their single most attractive region</w:t>
            </w:r>
          </w:p>
        </w:tc>
        <w:tc>
          <w:tcPr>
            <w:tcW w:w="283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759FEDBF" w14:textId="77777777" w:rsidR="0008751D" w:rsidRPr="001E5405" w:rsidRDefault="0008751D" w:rsidP="009C2716">
            <w:pPr>
              <w:spacing w:after="40"/>
              <w:jc w:val="both"/>
              <w:rPr>
                <w:rFonts w:ascii="DeutscheBank" w:hAnsi="DeutscheBank"/>
                <w:lang w:val="en-GB"/>
              </w:rPr>
            </w:pPr>
            <w:r w:rsidRPr="001E5405">
              <w:rPr>
                <w:rFonts w:ascii="DeutscheBank" w:hAnsi="DeutscheBank"/>
                <w:b/>
                <w:bCs/>
                <w:color w:val="0069B1"/>
                <w:sz w:val="30"/>
                <w:szCs w:val="30"/>
                <w:lang w:val="en-GB"/>
              </w:rPr>
              <w:t>81%</w:t>
            </w:r>
          </w:p>
          <w:p w14:paraId="1370BBE4" w14:textId="77777777" w:rsidR="0008751D" w:rsidRPr="001E5405" w:rsidRDefault="0008751D" w:rsidP="002D3FEB">
            <w:pPr>
              <w:rPr>
                <w:rFonts w:ascii="DeutscheBank" w:hAnsi="DeutscheBank"/>
                <w:lang w:val="en-GB"/>
              </w:rPr>
            </w:pPr>
            <w:r w:rsidRPr="001E5405">
              <w:rPr>
                <w:rFonts w:ascii="DeutscheBank" w:hAnsi="DeutscheBank"/>
                <w:color w:val="5A6472"/>
                <w:sz w:val="16"/>
                <w:szCs w:val="16"/>
                <w:lang w:val="en-GB"/>
              </w:rPr>
              <w:t>say Europe has become more important over three years</w:t>
            </w:r>
          </w:p>
        </w:tc>
      </w:tr>
    </w:tbl>
    <w:p w14:paraId="06F1177E" w14:textId="77777777" w:rsidR="0008751D" w:rsidRPr="001E5405" w:rsidRDefault="0008751D" w:rsidP="0008751D">
      <w:pPr>
        <w:spacing w:after="80"/>
        <w:jc w:val="both"/>
        <w:rPr>
          <w:rFonts w:ascii="DeutscheBank" w:hAnsi="DeutscheBank"/>
          <w:lang w:val="en-GB"/>
        </w:rPr>
      </w:pPr>
    </w:p>
    <w:p w14:paraId="6A1EF3FE" w14:textId="305F9330" w:rsidR="0008751D" w:rsidRPr="006A0B8C" w:rsidRDefault="0008751D" w:rsidP="00AA76E2">
      <w:pPr>
        <w:pStyle w:val="Heading2"/>
        <w:rPr>
          <w:rFonts w:ascii="DeutscheBank" w:hAnsi="DeutscheBank"/>
          <w:color w:val="auto"/>
          <w:sz w:val="20"/>
          <w:szCs w:val="20"/>
          <w:lang w:val="en-GB"/>
        </w:rPr>
      </w:pPr>
      <w:bookmarkStart w:id="10" w:name="_Toc239717587"/>
      <w:bookmarkStart w:id="11" w:name="_Toc239842185"/>
      <w:bookmarkStart w:id="12" w:name="_Toc239930523"/>
      <w:r w:rsidRPr="006A0B8C">
        <w:rPr>
          <w:rFonts w:ascii="DeutscheBank" w:hAnsi="DeutscheBank"/>
          <w:color w:val="auto"/>
          <w:sz w:val="20"/>
          <w:szCs w:val="20"/>
          <w:lang w:val="en-GB"/>
        </w:rPr>
        <w:t>The most broadly favoured region</w:t>
      </w:r>
      <w:bookmarkEnd w:id="10"/>
      <w:bookmarkEnd w:id="11"/>
      <w:bookmarkEnd w:id="12"/>
    </w:p>
    <w:p w14:paraId="40835275" w14:textId="60030D94" w:rsidR="0008751D" w:rsidRPr="006A0B8C" w:rsidRDefault="0008751D" w:rsidP="00AA76E2">
      <w:pPr>
        <w:spacing w:after="150" w:line="288" w:lineRule="auto"/>
        <w:rPr>
          <w:rFonts w:ascii="DeutscheBank" w:hAnsi="DeutscheBank"/>
          <w:sz w:val="20"/>
          <w:szCs w:val="20"/>
          <w:lang w:val="en-GB"/>
        </w:rPr>
      </w:pPr>
      <w:r w:rsidRPr="041E5C19">
        <w:rPr>
          <w:rFonts w:ascii="DeutscheBank" w:hAnsi="DeutscheBank"/>
          <w:sz w:val="20"/>
          <w:szCs w:val="20"/>
          <w:lang w:val="en-GB"/>
        </w:rPr>
        <w:t>The starting point is cle</w:t>
      </w:r>
      <w:r w:rsidRPr="041E5C19">
        <w:rPr>
          <w:rFonts w:asciiTheme="minorHAnsi" w:eastAsiaTheme="minorEastAsia" w:hAnsiTheme="minorHAnsi" w:cstheme="minorBidi"/>
          <w:sz w:val="20"/>
          <w:szCs w:val="20"/>
          <w:lang w:val="en-GB"/>
        </w:rPr>
        <w:t>ar. About nine</w:t>
      </w:r>
      <w:r w:rsidRPr="041E5C19">
        <w:rPr>
          <w:rFonts w:ascii="DeutscheBank" w:hAnsi="DeutscheBank"/>
          <w:sz w:val="20"/>
          <w:szCs w:val="20"/>
          <w:lang w:val="en-GB"/>
        </w:rPr>
        <w:t xml:space="preserve"> in ten respondents place Europe among their three most attractive regions for investment, ahe</w:t>
      </w:r>
      <w:r w:rsidRPr="041E5C19">
        <w:rPr>
          <w:rFonts w:asciiTheme="minorHAnsi" w:eastAsiaTheme="minorEastAsia" w:hAnsiTheme="minorHAnsi" w:cstheme="minorBidi"/>
          <w:sz w:val="20"/>
          <w:szCs w:val="20"/>
          <w:lang w:val="en-GB"/>
        </w:rPr>
        <w:t xml:space="preserve">ad of </w:t>
      </w:r>
      <w:r w:rsidR="6B07600D" w:rsidRPr="041E5C19">
        <w:rPr>
          <w:rFonts w:asciiTheme="minorHAnsi" w:eastAsiaTheme="minorEastAsia" w:hAnsiTheme="minorHAnsi" w:cstheme="minorBidi"/>
          <w:sz w:val="20"/>
          <w:szCs w:val="20"/>
          <w:lang w:val="en-GB"/>
        </w:rPr>
        <w:t xml:space="preserve">North </w:t>
      </w:r>
      <w:r w:rsidRPr="041E5C19">
        <w:rPr>
          <w:rFonts w:asciiTheme="minorHAnsi" w:eastAsiaTheme="minorEastAsia" w:hAnsiTheme="minorHAnsi" w:cstheme="minorBidi"/>
          <w:sz w:val="20"/>
          <w:szCs w:val="20"/>
          <w:lang w:val="en-GB"/>
        </w:rPr>
        <w:t>America at aro</w:t>
      </w:r>
      <w:r w:rsidRPr="041E5C19">
        <w:rPr>
          <w:rFonts w:ascii="DeutscheBank" w:hAnsi="DeutscheBank"/>
          <w:sz w:val="20"/>
          <w:szCs w:val="20"/>
          <w:lang w:val="en-GB"/>
        </w:rPr>
        <w:t>und 69 percent and APAC excluding China at around 56 percent. No other region is named this widely: China (30 percent), the Middle East (32 percent) and Latin America (24 percent) all sit well behind. Europe is the one region that almost everyone rates highly, which makes it a natural anchor for globally diversified investors.</w:t>
      </w:r>
    </w:p>
    <w:p w14:paraId="08FF1DA9" w14:textId="77B8B629" w:rsidR="0008751D" w:rsidRDefault="0008751D" w:rsidP="00AA76E2">
      <w:pPr>
        <w:spacing w:after="150" w:line="288" w:lineRule="auto"/>
        <w:rPr>
          <w:rFonts w:ascii="DeutscheBank" w:hAnsi="DeutscheBank"/>
          <w:sz w:val="20"/>
          <w:szCs w:val="20"/>
          <w:lang w:val="en-GB"/>
        </w:rPr>
      </w:pPr>
      <w:r w:rsidRPr="006A0B8C">
        <w:rPr>
          <w:rFonts w:ascii="DeutscheBank" w:hAnsi="DeutscheBank"/>
          <w:sz w:val="20"/>
          <w:szCs w:val="20"/>
          <w:lang w:val="en-GB"/>
        </w:rPr>
        <w:t xml:space="preserve">This broad appeal does not come from a single group of investors. It holds across the surveyed regions, with Europe reaching about 90 percent </w:t>
      </w:r>
      <w:proofErr w:type="gramStart"/>
      <w:r w:rsidRPr="006A0B8C">
        <w:rPr>
          <w:rFonts w:ascii="DeutscheBank" w:hAnsi="DeutscheBank"/>
          <w:sz w:val="20"/>
          <w:szCs w:val="20"/>
          <w:lang w:val="en-GB"/>
        </w:rPr>
        <w:t>Top-3</w:t>
      </w:r>
      <w:proofErr w:type="gramEnd"/>
      <w:r w:rsidRPr="006A0B8C">
        <w:rPr>
          <w:rFonts w:ascii="DeutscheBank" w:hAnsi="DeutscheBank"/>
          <w:sz w:val="20"/>
          <w:szCs w:val="20"/>
          <w:lang w:val="en-GB"/>
        </w:rPr>
        <w:t xml:space="preserve"> recognition among decision-makers in APAC, the Middle East a</w:t>
      </w:r>
      <w:r w:rsidRPr="2F702F10">
        <w:rPr>
          <w:rFonts w:asciiTheme="minorHAnsi" w:eastAsiaTheme="minorEastAsia" w:hAnsiTheme="minorHAnsi" w:cstheme="minorBidi"/>
          <w:sz w:val="20"/>
          <w:szCs w:val="20"/>
          <w:lang w:val="en-GB"/>
        </w:rPr>
        <w:t>nd the Americas ali</w:t>
      </w:r>
      <w:r w:rsidRPr="006A0B8C">
        <w:rPr>
          <w:rFonts w:ascii="DeutscheBank" w:hAnsi="DeutscheBank"/>
          <w:sz w:val="20"/>
          <w:szCs w:val="20"/>
          <w:lang w:val="en-GB"/>
        </w:rPr>
        <w:t>ke. The picture also holds across investment stages: companies already invested in Europe place it among their Top 3 slightly more often (92 percent) than those still planning to enter (86 percent).</w:t>
      </w:r>
    </w:p>
    <w:p w14:paraId="29AA4366" w14:textId="77777777" w:rsidR="0008751D" w:rsidRPr="00BB676A" w:rsidRDefault="0008751D" w:rsidP="0008751D">
      <w:pPr>
        <w:pStyle w:val="Caption"/>
        <w:rPr>
          <w:rFonts w:ascii="DeutscheBank" w:eastAsia="Arial" w:hAnsi="DeutscheBank" w:cs="Arial"/>
          <w:bCs/>
          <w:iCs w:val="0"/>
          <w:szCs w:val="20"/>
          <w:lang w:val="en-GB" w:eastAsia="de-DE"/>
          <w14:ligatures w14:val="none"/>
        </w:rPr>
      </w:pPr>
      <w:r w:rsidRPr="00BB676A">
        <w:rPr>
          <w:rFonts w:ascii="DeutscheBank" w:eastAsia="Arial" w:hAnsi="DeutscheBank" w:cs="Arial"/>
          <w:bCs/>
          <w:iCs w:val="0"/>
          <w:szCs w:val="20"/>
          <w:lang w:val="en-GB" w:eastAsia="de-DE"/>
          <w14:ligatures w14:val="none"/>
        </w:rPr>
        <w:t>Figure 1: Attractiveness of regions (Top</w:t>
      </w:r>
      <w:r>
        <w:rPr>
          <w:rFonts w:ascii="DeutscheBank" w:eastAsia="Arial" w:hAnsi="DeutscheBank" w:cs="Arial"/>
          <w:bCs/>
          <w:iCs w:val="0"/>
          <w:szCs w:val="20"/>
          <w:lang w:val="en-GB" w:eastAsia="de-DE"/>
          <w14:ligatures w14:val="none"/>
        </w:rPr>
        <w:t xml:space="preserve"> </w:t>
      </w:r>
      <w:r w:rsidRPr="00BB676A">
        <w:rPr>
          <w:rFonts w:ascii="DeutscheBank" w:eastAsia="Arial" w:hAnsi="DeutscheBank" w:cs="Arial"/>
          <w:bCs/>
          <w:iCs w:val="0"/>
          <w:szCs w:val="20"/>
          <w:lang w:val="en-GB" w:eastAsia="de-DE"/>
          <w14:ligatures w14:val="none"/>
        </w:rPr>
        <w:t>3)</w:t>
      </w:r>
    </w:p>
    <w:p w14:paraId="03E87195" w14:textId="77777777" w:rsidR="0008751D" w:rsidRPr="00BB676A" w:rsidRDefault="0008751D" w:rsidP="0008751D">
      <w:pPr>
        <w:pStyle w:val="Copy"/>
        <w:rPr>
          <w:rFonts w:ascii="DeutscheBank" w:eastAsia="Arial" w:hAnsi="DeutscheBank" w:cs="Arial"/>
          <w:color w:val="222222"/>
          <w:lang w:val="en-GB" w:eastAsia="de-DE"/>
          <w14:ligatures w14:val="none"/>
        </w:rPr>
      </w:pPr>
      <w:r w:rsidRPr="47163E79">
        <w:rPr>
          <w:rFonts w:ascii="DeutscheBank" w:eastAsia="Arial" w:hAnsi="DeutscheBank" w:cs="Arial"/>
          <w:color w:val="222222"/>
          <w:lang w:val="en-GB" w:eastAsia="de-DE"/>
          <w14:ligatures w14:val="none"/>
        </w:rPr>
        <w:t>Region named under Top 3 (all respondents and investment status)</w:t>
      </w:r>
    </w:p>
    <w:p w14:paraId="67FB5797" w14:textId="0B1CDFB8" w:rsidR="00DF1C11" w:rsidRPr="001F2441" w:rsidRDefault="001F2441" w:rsidP="001F2441">
      <w:pPr>
        <w:keepNext/>
        <w:spacing w:before="140" w:after="40"/>
        <w:jc w:val="center"/>
        <w:rPr>
          <w:rFonts w:ascii="DeutscheBank" w:hAnsi="DeutscheBank"/>
        </w:rPr>
      </w:pPr>
      <w:r w:rsidRPr="001F2441">
        <w:rPr>
          <w:rFonts w:ascii="DeutscheBank" w:hAnsi="DeutscheBank"/>
          <w:noProof/>
        </w:rPr>
        <w:drawing>
          <wp:inline distT="0" distB="0" distL="0" distR="0" wp14:anchorId="7A692F0E" wp14:editId="491FDB60">
            <wp:extent cx="4304714" cy="2917734"/>
            <wp:effectExtent l="0" t="0" r="635" b="0"/>
            <wp:docPr id="309981000" name="Grafik 9" descr="Horizontal bar chart compares regional investment status in Europe across Total, Already Invested in Europe, and Not Yet Invested in Europe, using dark, medium, and light blue bars. Europe leads at 90% total and 92% already invested, while APAC excluding China shows highest not-yet-invested share at 68%; LATAM records lowest total a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81000" name="Grafik 9" descr="Horizontal bar chart compares regional investment status in Europe across Total, Already Invested in Europe, and Not Yet Invested in Europe, using dark, medium, and light blue bars. Europe leads at 90% total and 92% already invested, while APAC excluding China shows highest not-yet-invested share at 68%; LATAM records lowest total at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4665" cy="2931257"/>
                    </a:xfrm>
                    <a:prstGeom prst="rect">
                      <a:avLst/>
                    </a:prstGeom>
                    <a:noFill/>
                    <a:ln>
                      <a:noFill/>
                    </a:ln>
                  </pic:spPr>
                </pic:pic>
              </a:graphicData>
            </a:graphic>
          </wp:inline>
        </w:drawing>
      </w:r>
    </w:p>
    <w:p w14:paraId="075A0639" w14:textId="305C30BF" w:rsidR="0008751D" w:rsidRPr="00CE2073" w:rsidRDefault="0008751D" w:rsidP="0008751D">
      <w:pPr>
        <w:keepNext/>
        <w:spacing w:before="140" w:after="40"/>
        <w:jc w:val="center"/>
        <w:rPr>
          <w:rFonts w:ascii="DeutscheBank" w:hAnsi="DeutscheBank"/>
          <w:lang w:val="en-US"/>
        </w:rPr>
      </w:pPr>
    </w:p>
    <w:p w14:paraId="218D93B3" w14:textId="02D040D7" w:rsidR="0008751D" w:rsidRPr="001E5405" w:rsidRDefault="0008751D" w:rsidP="0008751D">
      <w:pPr>
        <w:spacing w:after="180"/>
        <w:jc w:val="both"/>
        <w:rPr>
          <w:rFonts w:ascii="DeutscheBank" w:hAnsi="DeutscheBank"/>
          <w:lang w:val="en-GB"/>
        </w:rPr>
      </w:pPr>
      <w:r w:rsidRPr="000B0F05">
        <w:rPr>
          <w:rFonts w:ascii="DeutscheBank" w:hAnsi="DeutscheBank"/>
          <w:b/>
          <w:bCs/>
          <w:color w:val="000000" w:themeColor="text1"/>
          <w:sz w:val="16"/>
          <w:szCs w:val="16"/>
          <w:lang w:val="en-GB"/>
        </w:rPr>
        <w:t xml:space="preserve">Source: </w:t>
      </w:r>
      <w:r w:rsidRPr="000B0F05">
        <w:rPr>
          <w:rFonts w:ascii="DeutscheBank" w:hAnsi="DeutscheBank"/>
          <w:color w:val="000000" w:themeColor="text1"/>
          <w:sz w:val="16"/>
          <w:szCs w:val="16"/>
          <w:lang w:val="en-GB"/>
        </w:rPr>
        <w:t>Global Sentiment Survey on Europe 2026, B2B online survey. Base</w:t>
      </w:r>
      <w:r w:rsidRPr="000B0F05">
        <w:rPr>
          <w:rFonts w:ascii="DeutscheBank" w:hAnsi="DeutscheBank"/>
          <w:b/>
          <w:bCs/>
          <w:color w:val="000000" w:themeColor="text1"/>
          <w:sz w:val="16"/>
          <w:szCs w:val="16"/>
          <w:lang w:val="en-GB"/>
        </w:rPr>
        <w:t>:</w:t>
      </w:r>
      <w:r w:rsidRPr="000B0F05">
        <w:rPr>
          <w:rFonts w:ascii="DeutscheBank" w:hAnsi="DeutscheBank"/>
          <w:color w:val="000000" w:themeColor="text1"/>
          <w:sz w:val="16"/>
          <w:szCs w:val="16"/>
          <w:lang w:val="en-GB"/>
        </w:rPr>
        <w:t xml:space="preserve"> n = 1,200 (Already invested </w:t>
      </w:r>
      <w:r>
        <w:rPr>
          <w:rFonts w:ascii="DeutscheBank" w:hAnsi="DeutscheBank"/>
          <w:color w:val="000000" w:themeColor="text1"/>
          <w:sz w:val="16"/>
          <w:szCs w:val="16"/>
          <w:lang w:val="en-GB"/>
        </w:rPr>
        <w:t>in Europe 807</w:t>
      </w:r>
      <w:r w:rsidRPr="000B0F05">
        <w:rPr>
          <w:rFonts w:ascii="DeutscheBank" w:hAnsi="DeutscheBank"/>
          <w:color w:val="000000" w:themeColor="text1"/>
          <w:sz w:val="16"/>
          <w:szCs w:val="16"/>
          <w:lang w:val="en-GB"/>
        </w:rPr>
        <w:t>, Not yet invested in Europe bu</w:t>
      </w:r>
      <w:r>
        <w:rPr>
          <w:rFonts w:ascii="DeutscheBank" w:hAnsi="DeutscheBank"/>
          <w:color w:val="000000" w:themeColor="text1"/>
          <w:sz w:val="16"/>
          <w:szCs w:val="16"/>
          <w:lang w:val="en-GB"/>
        </w:rPr>
        <w:t>t planning 393</w:t>
      </w:r>
      <w:r w:rsidRPr="000B0F05">
        <w:rPr>
          <w:rFonts w:ascii="DeutscheBank" w:hAnsi="DeutscheBank"/>
          <w:color w:val="000000" w:themeColor="text1"/>
          <w:sz w:val="16"/>
          <w:szCs w:val="16"/>
          <w:lang w:val="en-GB"/>
        </w:rPr>
        <w:t>)</w:t>
      </w:r>
    </w:p>
    <w:p w14:paraId="4F67F765" w14:textId="0A03DA33" w:rsidR="0008751D" w:rsidRPr="006A0B8C" w:rsidRDefault="0008751D" w:rsidP="00AA76E2">
      <w:pPr>
        <w:pStyle w:val="Heading2"/>
        <w:rPr>
          <w:rFonts w:ascii="DeutscheBank" w:hAnsi="DeutscheBank"/>
          <w:color w:val="auto"/>
          <w:sz w:val="20"/>
          <w:szCs w:val="20"/>
          <w:lang w:val="en-GB"/>
        </w:rPr>
      </w:pPr>
      <w:bookmarkStart w:id="13" w:name="_Toc239842186"/>
      <w:bookmarkStart w:id="14" w:name="_Toc239930524"/>
      <w:r w:rsidRPr="006A0B8C">
        <w:rPr>
          <w:rFonts w:ascii="DeutscheBank" w:hAnsi="DeutscheBank"/>
          <w:color w:val="auto"/>
          <w:sz w:val="20"/>
          <w:szCs w:val="20"/>
          <w:lang w:val="en-GB"/>
        </w:rPr>
        <w:lastRenderedPageBreak/>
        <w:t xml:space="preserve">Experience </w:t>
      </w:r>
      <w:r w:rsidR="00243EDC">
        <w:rPr>
          <w:rFonts w:ascii="DeutscheBank" w:hAnsi="DeutscheBank"/>
          <w:color w:val="auto"/>
          <w:sz w:val="20"/>
          <w:szCs w:val="20"/>
          <w:lang w:val="en-GB"/>
        </w:rPr>
        <w:t xml:space="preserve">in Europe </w:t>
      </w:r>
      <w:r w:rsidRPr="006A0B8C">
        <w:rPr>
          <w:rFonts w:ascii="DeutscheBank" w:hAnsi="DeutscheBank"/>
          <w:color w:val="auto"/>
          <w:sz w:val="20"/>
          <w:szCs w:val="20"/>
          <w:lang w:val="en-GB"/>
        </w:rPr>
        <w:t>deepens conviction</w:t>
      </w:r>
      <w:bookmarkEnd w:id="13"/>
      <w:bookmarkEnd w:id="14"/>
    </w:p>
    <w:p w14:paraId="628AAE76" w14:textId="06133CCA" w:rsidR="0008751D" w:rsidRPr="006A0B8C" w:rsidRDefault="3522AF9B" w:rsidP="5F675D6C">
      <w:pPr>
        <w:spacing w:line="300" w:lineRule="auto"/>
        <w:rPr>
          <w:rFonts w:ascii="DeutscheBank" w:hAnsi="DeutscheBank"/>
          <w:sz w:val="20"/>
          <w:szCs w:val="20"/>
          <w:lang w:val="en-GB"/>
        </w:rPr>
      </w:pPr>
      <w:r w:rsidRPr="5F675D6C">
        <w:rPr>
          <w:rFonts w:ascii="Segoe UI" w:eastAsia="Segoe UI" w:hAnsi="Segoe UI" w:cs="Segoe UI"/>
          <w:lang w:val="en-GB"/>
        </w:rPr>
        <w:t xml:space="preserve">Europe tops the list of global investment destinations for more than a third of respondents. </w:t>
      </w:r>
      <w:r w:rsidR="11B8707C" w:rsidRPr="5D3C65E3">
        <w:rPr>
          <w:rFonts w:ascii="Segoe UI" w:eastAsia="Segoe UI" w:hAnsi="Segoe UI" w:cs="Segoe UI"/>
          <w:lang w:val="en-GB"/>
        </w:rPr>
        <w:t>35</w:t>
      </w:r>
      <w:r w:rsidRPr="5F675D6C">
        <w:rPr>
          <w:rFonts w:ascii="Segoe UI" w:eastAsia="Segoe UI" w:hAnsi="Segoe UI" w:cs="Segoe UI"/>
          <w:lang w:val="en-GB"/>
        </w:rPr>
        <w:t xml:space="preserve"> percent place it in first position, </w:t>
      </w:r>
      <w:r w:rsidR="0008751D" w:rsidRPr="006A0B8C">
        <w:rPr>
          <w:rFonts w:ascii="DeutscheBank" w:hAnsi="DeutscheBank"/>
          <w:sz w:val="20"/>
          <w:szCs w:val="20"/>
          <w:lang w:val="en-GB"/>
        </w:rPr>
        <w:t xml:space="preserve">ahead of APAC excluding China (24 percent) and North America (19 percent). </w:t>
      </w:r>
    </w:p>
    <w:p w14:paraId="7D53DDB9" w14:textId="6904CDE7" w:rsidR="0008751D" w:rsidRDefault="0008751D" w:rsidP="00AA76E2">
      <w:pPr>
        <w:spacing w:after="150" w:line="288" w:lineRule="auto"/>
        <w:rPr>
          <w:rFonts w:ascii="DeutscheBank" w:hAnsi="DeutscheBank"/>
          <w:sz w:val="20"/>
          <w:szCs w:val="20"/>
          <w:lang w:val="en-GB"/>
        </w:rPr>
      </w:pPr>
      <w:r w:rsidRPr="006A0B8C">
        <w:rPr>
          <w:rFonts w:ascii="DeutscheBank" w:hAnsi="DeutscheBank"/>
          <w:sz w:val="20"/>
          <w:szCs w:val="20"/>
          <w:lang w:val="en-GB"/>
        </w:rPr>
        <w:t>Among companies already invested in Europe, the first-choice share rises to 45 percent; among those not yet invested it is 15 percent. This</w:t>
      </w:r>
      <w:r w:rsidRPr="5F675D6C">
        <w:rPr>
          <w:rFonts w:ascii="DeutscheBank" w:hAnsi="DeutscheBank"/>
          <w:sz w:val="20"/>
          <w:szCs w:val="20"/>
          <w:lang w:val="en-GB"/>
        </w:rPr>
        <w:t xml:space="preserve"> </w:t>
      </w:r>
      <w:r w:rsidR="428F267E" w:rsidRPr="5F675D6C">
        <w:rPr>
          <w:rFonts w:ascii="DeutscheBank" w:hAnsi="DeutscheBank"/>
          <w:sz w:val="20"/>
          <w:szCs w:val="20"/>
          <w:lang w:val="en-GB"/>
        </w:rPr>
        <w:t>means</w:t>
      </w:r>
      <w:r w:rsidRPr="006A0B8C">
        <w:rPr>
          <w:rFonts w:ascii="DeutscheBank" w:hAnsi="DeutscheBank"/>
          <w:sz w:val="20"/>
          <w:szCs w:val="20"/>
          <w:lang w:val="en-GB"/>
        </w:rPr>
        <w:t xml:space="preserve"> companies </w:t>
      </w:r>
      <w:r w:rsidR="50BB17C1" w:rsidRPr="5F675D6C">
        <w:rPr>
          <w:rFonts w:ascii="DeutscheBank" w:hAnsi="DeutscheBank"/>
          <w:sz w:val="20"/>
          <w:szCs w:val="20"/>
          <w:lang w:val="en-GB"/>
        </w:rPr>
        <w:t xml:space="preserve">with experience </w:t>
      </w:r>
      <w:r w:rsidRPr="006A0B8C">
        <w:rPr>
          <w:rFonts w:ascii="DeutscheBank" w:hAnsi="DeutscheBank"/>
          <w:sz w:val="20"/>
          <w:szCs w:val="20"/>
          <w:lang w:val="en-GB"/>
        </w:rPr>
        <w:t xml:space="preserve">in Europe </w:t>
      </w:r>
      <w:r w:rsidR="693DF301" w:rsidRPr="5F675D6C">
        <w:rPr>
          <w:rFonts w:ascii="DeutscheBank" w:hAnsi="DeutscheBank"/>
          <w:sz w:val="20"/>
          <w:szCs w:val="20"/>
          <w:lang w:val="en-GB"/>
        </w:rPr>
        <w:t>rank it higher</w:t>
      </w:r>
      <w:r w:rsidR="6690B712" w:rsidRPr="5F675D6C">
        <w:rPr>
          <w:rFonts w:ascii="DeutscheBank" w:hAnsi="DeutscheBank"/>
          <w:sz w:val="20"/>
          <w:szCs w:val="20"/>
          <w:lang w:val="en-GB"/>
        </w:rPr>
        <w:t>. At the same time</w:t>
      </w:r>
      <w:r w:rsidRPr="006A0B8C">
        <w:rPr>
          <w:rFonts w:ascii="DeutscheBank" w:hAnsi="DeutscheBank"/>
          <w:sz w:val="20"/>
          <w:szCs w:val="20"/>
          <w:lang w:val="en-GB"/>
        </w:rPr>
        <w:t>, there is clear room to win over those who rate the region highly overall but have not yet made it their first choice.</w:t>
      </w:r>
    </w:p>
    <w:p w14:paraId="156E01E3" w14:textId="77777777" w:rsidR="0008751D" w:rsidRPr="00BB676A" w:rsidRDefault="0008751D" w:rsidP="0008751D">
      <w:pPr>
        <w:pStyle w:val="Caption"/>
        <w:rPr>
          <w:rFonts w:ascii="DeutscheBank" w:eastAsia="Arial" w:hAnsi="DeutscheBank" w:cs="Arial"/>
          <w:bCs/>
          <w:iCs w:val="0"/>
          <w:szCs w:val="20"/>
          <w:lang w:val="en-GB" w:eastAsia="de-DE"/>
          <w14:ligatures w14:val="none"/>
        </w:rPr>
      </w:pPr>
      <w:r w:rsidRPr="00BB676A">
        <w:rPr>
          <w:rFonts w:ascii="DeutscheBank" w:eastAsia="Arial" w:hAnsi="DeutscheBank" w:cs="Arial"/>
          <w:bCs/>
          <w:iCs w:val="0"/>
          <w:szCs w:val="20"/>
          <w:lang w:val="en-GB" w:eastAsia="de-DE"/>
          <w14:ligatures w14:val="none"/>
        </w:rPr>
        <w:t>Figure 2: Attractiveness of regions (Top</w:t>
      </w:r>
      <w:r>
        <w:rPr>
          <w:rFonts w:ascii="DeutscheBank" w:eastAsia="Arial" w:hAnsi="DeutscheBank" w:cs="Arial"/>
          <w:bCs/>
          <w:iCs w:val="0"/>
          <w:szCs w:val="20"/>
          <w:lang w:val="en-GB" w:eastAsia="de-DE"/>
          <w14:ligatures w14:val="none"/>
        </w:rPr>
        <w:t xml:space="preserve"> </w:t>
      </w:r>
      <w:r w:rsidRPr="00BB676A">
        <w:rPr>
          <w:rFonts w:ascii="DeutscheBank" w:eastAsia="Arial" w:hAnsi="DeutscheBank" w:cs="Arial"/>
          <w:bCs/>
          <w:iCs w:val="0"/>
          <w:szCs w:val="20"/>
          <w:lang w:val="en-GB" w:eastAsia="de-DE"/>
          <w14:ligatures w14:val="none"/>
        </w:rPr>
        <w:t>1)</w:t>
      </w:r>
    </w:p>
    <w:p w14:paraId="34694B8A" w14:textId="77777777" w:rsidR="002802E3" w:rsidRDefault="0008751D" w:rsidP="00E447AC">
      <w:pPr>
        <w:pStyle w:val="Copy"/>
        <w:rPr>
          <w:rFonts w:ascii="Times New Roman" w:eastAsia="Times New Roman" w:hAnsi="Times New Roman" w:cs="Times New Roman"/>
          <w:sz w:val="24"/>
        </w:rPr>
      </w:pPr>
      <w:r>
        <w:rPr>
          <w:rFonts w:ascii="DeutscheBank" w:eastAsia="Arial" w:hAnsi="DeutscheBank" w:cs="Arial"/>
          <w:color w:val="222222"/>
          <w:szCs w:val="20"/>
          <w:lang w:val="en-GB" w:eastAsia="de-DE"/>
          <w14:ligatures w14:val="none"/>
        </w:rPr>
        <w:t>Region named as Top 1 (all respondents and investment status)</w:t>
      </w:r>
      <w:r w:rsidR="002802E3" w:rsidRPr="002802E3">
        <w:rPr>
          <w:rFonts w:ascii="Times New Roman" w:eastAsia="Times New Roman" w:hAnsi="Times New Roman" w:cs="Times New Roman"/>
          <w:sz w:val="24"/>
        </w:rPr>
        <w:t xml:space="preserve"> </w:t>
      </w:r>
    </w:p>
    <w:p w14:paraId="384B28B9" w14:textId="40F5EA4A" w:rsidR="007A5FDF" w:rsidRPr="007A5FDF" w:rsidRDefault="007A5FDF" w:rsidP="007A5FDF">
      <w:pPr>
        <w:pStyle w:val="Copy"/>
        <w:jc w:val="center"/>
        <w:rPr>
          <w:rFonts w:ascii="DeutscheBank" w:hAnsi="DeutscheBank"/>
          <w:szCs w:val="20"/>
          <w:lang w:val="de-DE"/>
        </w:rPr>
      </w:pPr>
      <w:r w:rsidRPr="007A5FDF">
        <w:rPr>
          <w:rFonts w:ascii="DeutscheBank" w:hAnsi="DeutscheBank"/>
          <w:noProof/>
          <w:szCs w:val="20"/>
          <w:lang w:val="de-DE"/>
        </w:rPr>
        <w:drawing>
          <wp:inline distT="0" distB="0" distL="0" distR="0" wp14:anchorId="410011E6" wp14:editId="66ACEF7B">
            <wp:extent cx="4628270" cy="3114593"/>
            <wp:effectExtent l="0" t="0" r="1270" b="0"/>
            <wp:docPr id="552022168" name="Grafik 11" descr="Horizontal bar chart compares regional percentages for total investment, investment already made in Europe, and planned investment not yet made in Europe. Europe leads already-invested share at 45%, while APAC excluding China leads planned investment at 44%; rows show Europe, China, APAC excluding China, North America, Middle East, and LATAM across three blue color-coded colum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022168" name="Grafik 11" descr="Horizontal bar chart compares regional percentages for total investment, investment already made in Europe, and planned investment not yet made in Europe. Europe leads already-invested share at 45%, while APAC excluding China leads planned investment at 44%; rows show Europe, China, APAC excluding China, North America, Middle East, and LATAM across three blue color-coded column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43791" cy="3125038"/>
                    </a:xfrm>
                    <a:prstGeom prst="rect">
                      <a:avLst/>
                    </a:prstGeom>
                    <a:noFill/>
                    <a:ln>
                      <a:noFill/>
                    </a:ln>
                  </pic:spPr>
                </pic:pic>
              </a:graphicData>
            </a:graphic>
          </wp:inline>
        </w:drawing>
      </w:r>
    </w:p>
    <w:p w14:paraId="36661115" w14:textId="01B127D3" w:rsidR="0008751D" w:rsidRPr="00E447AC" w:rsidRDefault="0008751D" w:rsidP="00CA3651">
      <w:pPr>
        <w:keepNext/>
        <w:spacing w:before="140" w:after="40"/>
        <w:rPr>
          <w:rFonts w:ascii="DeutscheBank" w:hAnsi="DeutscheBank"/>
          <w:lang w:val="en-US"/>
        </w:rPr>
      </w:pPr>
    </w:p>
    <w:p w14:paraId="04AA1E3C" w14:textId="77777777" w:rsidR="0008751D" w:rsidRDefault="0008751D" w:rsidP="0008751D">
      <w:pPr>
        <w:spacing w:after="180"/>
        <w:jc w:val="both"/>
        <w:rPr>
          <w:rFonts w:ascii="DeutscheBank" w:hAnsi="DeutscheBank"/>
          <w:color w:val="000000" w:themeColor="text1"/>
          <w:sz w:val="16"/>
          <w:szCs w:val="16"/>
          <w:lang w:val="en-GB"/>
        </w:rPr>
      </w:pPr>
      <w:r w:rsidRPr="000B0F05">
        <w:rPr>
          <w:rFonts w:ascii="DeutscheBank" w:hAnsi="DeutscheBank"/>
          <w:b/>
          <w:bCs/>
          <w:color w:val="000000" w:themeColor="text1"/>
          <w:sz w:val="16"/>
          <w:szCs w:val="16"/>
          <w:lang w:val="en-GB"/>
        </w:rPr>
        <w:t xml:space="preserve">Source: </w:t>
      </w:r>
      <w:r w:rsidRPr="000B0F05">
        <w:rPr>
          <w:rFonts w:ascii="DeutscheBank" w:hAnsi="DeutscheBank"/>
          <w:color w:val="000000" w:themeColor="text1"/>
          <w:sz w:val="16"/>
          <w:szCs w:val="16"/>
          <w:lang w:val="en-GB"/>
        </w:rPr>
        <w:t xml:space="preserve">Global Sentiment Survey on Europe 2026, B2B online survey. </w:t>
      </w:r>
      <w:r w:rsidRPr="00BB676A">
        <w:rPr>
          <w:rFonts w:ascii="DeutscheBank" w:hAnsi="DeutscheBank"/>
          <w:color w:val="000000" w:themeColor="text1"/>
          <w:sz w:val="16"/>
          <w:szCs w:val="16"/>
          <w:lang w:val="en-GB"/>
        </w:rPr>
        <w:t>Base</w:t>
      </w:r>
      <w:r w:rsidRPr="00BB676A">
        <w:rPr>
          <w:rFonts w:ascii="DeutscheBank" w:hAnsi="DeutscheBank"/>
          <w:b/>
          <w:bCs/>
          <w:color w:val="000000" w:themeColor="text1"/>
          <w:sz w:val="16"/>
          <w:szCs w:val="16"/>
          <w:lang w:val="en-GB"/>
        </w:rPr>
        <w:t>:</w:t>
      </w:r>
      <w:r w:rsidRPr="00BB676A">
        <w:rPr>
          <w:rFonts w:ascii="DeutscheBank" w:hAnsi="DeutscheBank"/>
          <w:color w:val="000000" w:themeColor="text1"/>
          <w:sz w:val="16"/>
          <w:szCs w:val="16"/>
          <w:lang w:val="en-GB"/>
        </w:rPr>
        <w:t xml:space="preserve"> n = 1,200 (Already invested </w:t>
      </w:r>
      <w:r>
        <w:rPr>
          <w:rFonts w:ascii="DeutscheBank" w:hAnsi="DeutscheBank"/>
          <w:color w:val="000000" w:themeColor="text1"/>
          <w:sz w:val="16"/>
          <w:szCs w:val="16"/>
          <w:lang w:val="en-GB"/>
        </w:rPr>
        <w:t>in Europe 807</w:t>
      </w:r>
      <w:r w:rsidRPr="00BB676A">
        <w:rPr>
          <w:rFonts w:ascii="DeutscheBank" w:hAnsi="DeutscheBank"/>
          <w:color w:val="000000" w:themeColor="text1"/>
          <w:sz w:val="16"/>
          <w:szCs w:val="16"/>
          <w:lang w:val="en-GB"/>
        </w:rPr>
        <w:t>, Not yet invested in Europe bu</w:t>
      </w:r>
      <w:r>
        <w:rPr>
          <w:rFonts w:ascii="DeutscheBank" w:hAnsi="DeutscheBank"/>
          <w:color w:val="000000" w:themeColor="text1"/>
          <w:sz w:val="16"/>
          <w:szCs w:val="16"/>
          <w:lang w:val="en-GB"/>
        </w:rPr>
        <w:t>t planning 393</w:t>
      </w:r>
      <w:r w:rsidRPr="00BB676A">
        <w:rPr>
          <w:rFonts w:ascii="DeutscheBank" w:hAnsi="DeutscheBank"/>
          <w:color w:val="000000" w:themeColor="text1"/>
          <w:sz w:val="16"/>
          <w:szCs w:val="16"/>
          <w:lang w:val="en-GB"/>
        </w:rPr>
        <w:t>)</w:t>
      </w:r>
    </w:p>
    <w:p w14:paraId="65D6C637" w14:textId="77777777" w:rsidR="002C3064" w:rsidRPr="001E5405" w:rsidRDefault="002C3064" w:rsidP="0008751D">
      <w:pPr>
        <w:spacing w:after="180"/>
        <w:jc w:val="both"/>
        <w:rPr>
          <w:rFonts w:ascii="DeutscheBank" w:hAnsi="DeutscheBank"/>
          <w:lang w:val="en-GB"/>
        </w:rPr>
      </w:pPr>
    </w:p>
    <w:p w14:paraId="0D56A1D7" w14:textId="72468DCB" w:rsidR="0008751D" w:rsidRPr="00BB676A" w:rsidRDefault="00BA2DA9" w:rsidP="00AA76E2">
      <w:pPr>
        <w:pStyle w:val="Heading2"/>
        <w:rPr>
          <w:rFonts w:ascii="DeutscheBank" w:hAnsi="DeutscheBank"/>
          <w:color w:val="auto"/>
          <w:sz w:val="20"/>
          <w:szCs w:val="20"/>
          <w:lang w:val="en-GB"/>
        </w:rPr>
      </w:pPr>
      <w:bookmarkStart w:id="15" w:name="_Toc239930525"/>
      <w:r>
        <w:rPr>
          <w:rFonts w:ascii="DeutscheBank" w:hAnsi="DeutscheBank"/>
          <w:color w:val="auto"/>
          <w:sz w:val="20"/>
          <w:szCs w:val="20"/>
          <w:lang w:val="en-GB"/>
        </w:rPr>
        <w:t>G</w:t>
      </w:r>
      <w:r w:rsidR="00162573">
        <w:rPr>
          <w:rFonts w:ascii="DeutscheBank" w:hAnsi="DeutscheBank"/>
          <w:color w:val="auto"/>
          <w:sz w:val="20"/>
          <w:szCs w:val="20"/>
          <w:lang w:val="en-GB"/>
        </w:rPr>
        <w:t xml:space="preserve">rowing importance in </w:t>
      </w:r>
      <w:r w:rsidR="001D127C">
        <w:rPr>
          <w:rFonts w:ascii="DeutscheBank" w:hAnsi="DeutscheBank"/>
          <w:color w:val="auto"/>
          <w:sz w:val="20"/>
          <w:szCs w:val="20"/>
          <w:lang w:val="en-GB"/>
        </w:rPr>
        <w:t>investment decisions</w:t>
      </w:r>
      <w:bookmarkEnd w:id="15"/>
    </w:p>
    <w:p w14:paraId="4F8B77DE" w14:textId="3FF5FBC2" w:rsidR="0008751D" w:rsidRPr="00BB676A" w:rsidRDefault="0008751D" w:rsidP="00AA76E2">
      <w:pPr>
        <w:spacing w:after="150" w:line="288" w:lineRule="auto"/>
        <w:rPr>
          <w:rFonts w:ascii="DeutscheBank" w:hAnsi="DeutscheBank"/>
          <w:sz w:val="20"/>
          <w:szCs w:val="20"/>
          <w:lang w:val="en-GB"/>
        </w:rPr>
      </w:pPr>
      <w:r w:rsidRPr="2A2986F0">
        <w:rPr>
          <w:rFonts w:ascii="DeutscheBank" w:hAnsi="DeutscheBank"/>
          <w:sz w:val="20"/>
          <w:szCs w:val="20"/>
          <w:lang w:val="en-GB"/>
        </w:rPr>
        <w:t>Europe</w:t>
      </w:r>
      <w:r w:rsidR="36FF8533" w:rsidRPr="2A2986F0">
        <w:rPr>
          <w:rFonts w:ascii="DeutscheBank" w:hAnsi="DeutscheBank"/>
          <w:sz w:val="20"/>
          <w:szCs w:val="20"/>
          <w:lang w:val="en-GB"/>
        </w:rPr>
        <w:t>'s</w:t>
      </w:r>
      <w:r w:rsidRPr="2A2986F0">
        <w:rPr>
          <w:rFonts w:ascii="DeutscheBank" w:hAnsi="DeutscheBank"/>
          <w:sz w:val="20"/>
          <w:szCs w:val="20"/>
          <w:lang w:val="en-GB"/>
        </w:rPr>
        <w:t xml:space="preserve"> attractive</w:t>
      </w:r>
      <w:r w:rsidR="1849F30E" w:rsidRPr="2A2986F0">
        <w:rPr>
          <w:rFonts w:ascii="DeutscheBank" w:hAnsi="DeutscheBank"/>
          <w:sz w:val="20"/>
          <w:szCs w:val="20"/>
          <w:lang w:val="en-GB"/>
        </w:rPr>
        <w:t>ness is growing</w:t>
      </w:r>
      <w:r w:rsidRPr="2A2986F0">
        <w:rPr>
          <w:rFonts w:ascii="DeutscheBank" w:hAnsi="DeutscheBank"/>
          <w:sz w:val="20"/>
          <w:szCs w:val="20"/>
          <w:lang w:val="en-GB"/>
        </w:rPr>
        <w:t xml:space="preserve">. 81 percent of respondents say the region has become more important in their investment decisions over the past three years – 28 percent much more important and 53 percent somewhat more important – while only 3 percent say it has become less important. </w:t>
      </w:r>
    </w:p>
    <w:p w14:paraId="3482536B" w14:textId="11E9B435" w:rsidR="0008751D" w:rsidRDefault="0008751D" w:rsidP="00AA76E2">
      <w:pPr>
        <w:spacing w:after="150" w:line="288" w:lineRule="auto"/>
        <w:rPr>
          <w:rFonts w:ascii="DeutscheBank" w:hAnsi="DeutscheBank"/>
          <w:sz w:val="20"/>
          <w:szCs w:val="20"/>
          <w:lang w:val="en-GB"/>
        </w:rPr>
      </w:pPr>
      <w:r w:rsidRPr="00BB676A">
        <w:rPr>
          <w:rFonts w:ascii="DeutscheBank" w:hAnsi="DeutscheBank"/>
          <w:sz w:val="20"/>
          <w:szCs w:val="20"/>
          <w:lang w:val="en-GB"/>
        </w:rPr>
        <w:t xml:space="preserve">The rise is broad but not even. It is steepest among American investors, where 39 percent say Europe has become much more important, against 24 percent in APAC and 20 percent in the Middle </w:t>
      </w:r>
      <w:r w:rsidRPr="524252D2">
        <w:rPr>
          <w:rFonts w:asciiTheme="minorHAnsi" w:eastAsiaTheme="minorEastAsia" w:hAnsiTheme="minorHAnsi" w:cstheme="minorBidi"/>
          <w:sz w:val="20"/>
          <w:szCs w:val="20"/>
          <w:lang w:val="en-GB"/>
        </w:rPr>
        <w:t xml:space="preserve">East. </w:t>
      </w:r>
      <w:r w:rsidR="00D92DA3" w:rsidRPr="524252D2">
        <w:rPr>
          <w:rFonts w:asciiTheme="minorHAnsi" w:eastAsiaTheme="minorEastAsia" w:hAnsiTheme="minorHAnsi" w:cstheme="minorBidi"/>
          <w:sz w:val="20"/>
          <w:szCs w:val="20"/>
          <w:lang w:val="en-GB"/>
        </w:rPr>
        <w:t xml:space="preserve">Combining those who say Europe has become much more or somewhat more important, the share reaches 89 percent in the Middle East and 85 percent in the Americas, with APAC a little behind at 77 percent. </w:t>
      </w:r>
    </w:p>
    <w:p w14:paraId="06C70C90" w14:textId="77777777" w:rsidR="0008751D" w:rsidRDefault="0008751D" w:rsidP="0008751D">
      <w:pPr>
        <w:rPr>
          <w:rFonts w:asciiTheme="minorHAnsi" w:eastAsiaTheme="minorHAnsi" w:hAnsiTheme="minorHAnsi" w:cstheme="minorBidi"/>
          <w:b/>
          <w:iCs/>
          <w:color w:val="000000" w:themeColor="text1"/>
          <w:sz w:val="20"/>
          <w:szCs w:val="18"/>
          <w:lang w:val="en-US" w:eastAsia="en-US"/>
          <w14:ligatures w14:val="standardContextual"/>
        </w:rPr>
      </w:pPr>
      <w:r w:rsidRPr="005E2C2D">
        <w:rPr>
          <w:lang w:val="en-GB"/>
        </w:rPr>
        <w:br w:type="page"/>
      </w:r>
    </w:p>
    <w:p w14:paraId="1D3997E1" w14:textId="136448FE" w:rsidR="0008751D" w:rsidRPr="00BB676A" w:rsidRDefault="0008751D" w:rsidP="0008751D">
      <w:pPr>
        <w:pStyle w:val="Caption"/>
        <w:rPr>
          <w:rFonts w:ascii="DeutscheBank" w:eastAsia="Arial" w:hAnsi="DeutscheBank" w:cs="Arial"/>
          <w:lang w:val="en-GB" w:eastAsia="de-DE"/>
          <w14:ligatures w14:val="none"/>
        </w:rPr>
      </w:pPr>
      <w:r w:rsidRPr="5D3C65E3">
        <w:rPr>
          <w:rFonts w:ascii="DeutscheBank" w:eastAsia="Arial" w:hAnsi="DeutscheBank" w:cs="Arial"/>
          <w:lang w:val="en-GB" w:eastAsia="de-DE"/>
          <w14:ligatures w14:val="none"/>
        </w:rPr>
        <w:lastRenderedPageBreak/>
        <w:t>Figure 3: Importance of Europe vs. 3 years ago</w:t>
      </w:r>
      <w:r w:rsidR="664D6F46" w:rsidRPr="5D3C65E3">
        <w:rPr>
          <w:rFonts w:ascii="DeutscheBank" w:eastAsia="Arial" w:hAnsi="DeutscheBank" w:cs="Arial"/>
          <w:lang w:val="en-GB" w:eastAsia="de-DE"/>
        </w:rPr>
        <w:t>, by region</w:t>
      </w:r>
    </w:p>
    <w:p w14:paraId="7DFC83DB" w14:textId="4F0783F0" w:rsidR="0008751D" w:rsidRPr="001D0CC9" w:rsidRDefault="454B048C" w:rsidP="444F99EB">
      <w:pPr>
        <w:keepNext/>
        <w:spacing w:before="140" w:after="40"/>
        <w:jc w:val="both"/>
        <w:rPr>
          <w:rFonts w:ascii="DeutscheBank" w:hAnsi="DeutscheBank"/>
          <w:lang w:val="en-US"/>
        </w:rPr>
      </w:pPr>
      <w:r w:rsidRPr="444F99EB">
        <w:rPr>
          <w:rFonts w:ascii="DeutscheBank" w:hAnsi="DeutscheBank"/>
          <w:lang w:val="en-GB"/>
        </w:rPr>
        <w:t xml:space="preserve"> </w:t>
      </w:r>
      <w:proofErr w:type="gramStart"/>
      <w:r w:rsidRPr="444F99EB">
        <w:rPr>
          <w:rFonts w:ascii="DeutscheBank" w:hAnsi="DeutscheBank"/>
          <w:lang w:val="en-GB"/>
        </w:rPr>
        <w:t>Top-2</w:t>
      </w:r>
      <w:proofErr w:type="gramEnd"/>
      <w:r w:rsidRPr="444F99EB">
        <w:rPr>
          <w:rFonts w:ascii="DeutscheBank" w:hAnsi="DeutscheBank"/>
          <w:lang w:val="en-GB"/>
        </w:rPr>
        <w:t xml:space="preserve"> Box of five-point scale</w:t>
      </w:r>
      <w:r w:rsidR="008F454B" w:rsidRPr="444F99EB">
        <w:rPr>
          <w:rFonts w:ascii="DeutscheBank" w:hAnsi="DeutscheBank"/>
          <w:lang w:val="en-GB"/>
        </w:rPr>
        <w:t xml:space="preserve"> (all respondents)</w:t>
      </w:r>
    </w:p>
    <w:p w14:paraId="61428FA7" w14:textId="416B7D7A" w:rsidR="00904B97" w:rsidRPr="00904B97" w:rsidRDefault="00904B97" w:rsidP="00904B97">
      <w:pPr>
        <w:keepNext/>
        <w:spacing w:before="140" w:after="40"/>
        <w:jc w:val="center"/>
        <w:rPr>
          <w:rFonts w:ascii="DeutscheBank" w:hAnsi="DeutscheBank"/>
        </w:rPr>
      </w:pPr>
      <w:r w:rsidRPr="00904B97">
        <w:rPr>
          <w:rFonts w:ascii="DeutscheBank" w:hAnsi="DeutscheBank"/>
          <w:noProof/>
        </w:rPr>
        <w:drawing>
          <wp:inline distT="0" distB="0" distL="0" distR="0" wp14:anchorId="5FF55173" wp14:editId="3E7CF1D4">
            <wp:extent cx="4754880" cy="2912574"/>
            <wp:effectExtent l="0" t="0" r="7620" b="2540"/>
            <wp:docPr id="439306686" name="Grafik 9" descr="Stacked bar chart compares perceived importance versus 3 years ago across Overall, APAC, Middle East, and Americas categories. Dark-blue “Much more important” and blue “Somewhat more important” segments total 81%, 77%, 89%, and 85%, respectively; Middle East ranks highest, APAC lowest, and Americas has largest “Much more important” share at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306686" name="Grafik 9" descr="Stacked bar chart compares perceived importance versus 3 years ago across Overall, APAC, Middle East, and Americas categories. Dark-blue “Much more important” and blue “Somewhat more important” segments total 81%, 77%, 89%, and 85%, respectively; Middle East ranks highest, APAC lowest, and Americas has largest “Much more important” share at 3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71166" cy="2922550"/>
                    </a:xfrm>
                    <a:prstGeom prst="rect">
                      <a:avLst/>
                    </a:prstGeom>
                    <a:noFill/>
                    <a:ln>
                      <a:noFill/>
                    </a:ln>
                  </pic:spPr>
                </pic:pic>
              </a:graphicData>
            </a:graphic>
          </wp:inline>
        </w:drawing>
      </w:r>
    </w:p>
    <w:p w14:paraId="65CC40C2" w14:textId="69B3F984" w:rsidR="0008751D" w:rsidRDefault="0008751D" w:rsidP="0016467C">
      <w:pPr>
        <w:spacing w:after="180"/>
        <w:rPr>
          <w:rFonts w:ascii="DeutscheBank" w:hAnsi="DeutscheBank"/>
          <w:color w:val="000000" w:themeColor="text1"/>
          <w:sz w:val="16"/>
          <w:szCs w:val="16"/>
          <w:lang w:val="en-GB"/>
        </w:rPr>
      </w:pPr>
      <w:r w:rsidRPr="371D15A3">
        <w:rPr>
          <w:rFonts w:ascii="DeutscheBank" w:hAnsi="DeutscheBank"/>
          <w:b/>
          <w:bCs/>
          <w:color w:val="000000" w:themeColor="text1"/>
          <w:sz w:val="16"/>
          <w:szCs w:val="16"/>
          <w:lang w:val="en-GB"/>
        </w:rPr>
        <w:t xml:space="preserve">Source: </w:t>
      </w:r>
      <w:r w:rsidRPr="371D15A3">
        <w:rPr>
          <w:rFonts w:ascii="DeutscheBank" w:hAnsi="DeutscheBank"/>
          <w:color w:val="000000" w:themeColor="text1"/>
          <w:sz w:val="16"/>
          <w:szCs w:val="16"/>
          <w:lang w:val="en-GB"/>
        </w:rPr>
        <w:t xml:space="preserve">Global Sentiment Survey on Europe 2026, B2B online survey. </w:t>
      </w:r>
      <w:r w:rsidRPr="371D15A3">
        <w:rPr>
          <w:rFonts w:ascii="DeutscheBank" w:hAnsi="DeutscheBank"/>
          <w:b/>
          <w:bCs/>
          <w:color w:val="000000" w:themeColor="text1"/>
          <w:sz w:val="16"/>
          <w:szCs w:val="16"/>
          <w:lang w:val="en-GB"/>
        </w:rPr>
        <w:t>Base:</w:t>
      </w:r>
      <w:r w:rsidRPr="371D15A3">
        <w:rPr>
          <w:rFonts w:ascii="DeutscheBank" w:hAnsi="DeutscheBank"/>
          <w:color w:val="000000" w:themeColor="text1"/>
          <w:sz w:val="16"/>
          <w:szCs w:val="16"/>
          <w:lang w:val="en-GB"/>
        </w:rPr>
        <w:t xml:space="preserve"> n = 1,200 (APAC 600, Middle East 200, Americas 400)</w:t>
      </w:r>
    </w:p>
    <w:p w14:paraId="4BFC7725" w14:textId="77777777" w:rsidR="006C38AB" w:rsidRPr="001E5405" w:rsidRDefault="006C38AB" w:rsidP="0016467C">
      <w:pPr>
        <w:spacing w:after="180"/>
        <w:rPr>
          <w:rFonts w:ascii="DeutscheBank" w:hAnsi="DeutscheBank"/>
          <w:lang w:val="en-GB"/>
        </w:rPr>
      </w:pPr>
    </w:p>
    <w:p w14:paraId="67DD384D" w14:textId="2CEED2C1" w:rsidR="0008751D" w:rsidRPr="00BB676A" w:rsidRDefault="0008751D" w:rsidP="00AA76E2">
      <w:pPr>
        <w:pStyle w:val="Heading2"/>
        <w:rPr>
          <w:rFonts w:ascii="DeutscheBank" w:hAnsi="DeutscheBank"/>
          <w:color w:val="000000" w:themeColor="text1"/>
          <w:sz w:val="20"/>
          <w:szCs w:val="20"/>
          <w:lang w:val="en-GB"/>
        </w:rPr>
      </w:pPr>
      <w:bookmarkStart w:id="16" w:name="_Toc239842188"/>
      <w:bookmarkStart w:id="17" w:name="_Toc239930526"/>
      <w:r w:rsidRPr="00BB676A">
        <w:rPr>
          <w:rFonts w:ascii="DeutscheBank" w:hAnsi="DeutscheBank"/>
          <w:color w:val="000000" w:themeColor="text1"/>
          <w:sz w:val="20"/>
          <w:szCs w:val="20"/>
          <w:lang w:val="en-GB"/>
        </w:rPr>
        <w:t>A stable base in uncertain times</w:t>
      </w:r>
      <w:bookmarkEnd w:id="16"/>
      <w:bookmarkEnd w:id="17"/>
    </w:p>
    <w:p w14:paraId="2CC5DC68" w14:textId="323390F3" w:rsidR="0008751D" w:rsidRPr="00BB676A" w:rsidRDefault="0008751D" w:rsidP="00AA76E2">
      <w:pPr>
        <w:spacing w:after="150" w:line="288" w:lineRule="auto"/>
        <w:rPr>
          <w:rFonts w:ascii="DeutscheBank" w:hAnsi="DeutscheBank"/>
          <w:sz w:val="20"/>
          <w:szCs w:val="20"/>
          <w:lang w:val="en-GB"/>
        </w:rPr>
      </w:pPr>
      <w:r w:rsidRPr="041E5C19">
        <w:rPr>
          <w:rFonts w:ascii="DeutscheBank" w:hAnsi="DeutscheBank"/>
          <w:sz w:val="20"/>
          <w:szCs w:val="20"/>
          <w:lang w:val="en-GB"/>
        </w:rPr>
        <w:t xml:space="preserve">Resilience is a critical factor in today's environment, as geopolitical tensions and economic uncertainty increasingly influence investment decisions. Europe performs strongly on this dimension: around 71 percent of investors consider the region highly or </w:t>
      </w:r>
      <w:r w:rsidR="3E069636" w:rsidRPr="041E5C19">
        <w:rPr>
          <w:rFonts w:ascii="DeutscheBank" w:hAnsi="DeutscheBank"/>
          <w:sz w:val="20"/>
          <w:szCs w:val="20"/>
          <w:lang w:val="en-GB"/>
        </w:rPr>
        <w:t>rather</w:t>
      </w:r>
      <w:r w:rsidR="555DBFDB" w:rsidRPr="041E5C19">
        <w:rPr>
          <w:rFonts w:ascii="DeutscheBank" w:hAnsi="DeutscheBank"/>
          <w:sz w:val="20"/>
          <w:szCs w:val="20"/>
          <w:lang w:val="en-GB"/>
        </w:rPr>
        <w:t xml:space="preserve"> </w:t>
      </w:r>
      <w:r w:rsidRPr="041E5C19">
        <w:rPr>
          <w:rFonts w:ascii="DeutscheBank" w:hAnsi="DeutscheBank"/>
          <w:sz w:val="20"/>
          <w:szCs w:val="20"/>
          <w:lang w:val="en-GB"/>
        </w:rPr>
        <w:t>resilient as a business location, while only about 10 percent view it as not resilient. This reinforc</w:t>
      </w:r>
      <w:r w:rsidR="16CA2248" w:rsidRPr="041E5C19">
        <w:rPr>
          <w:rFonts w:ascii="DeutscheBank" w:hAnsi="DeutscheBank"/>
          <w:sz w:val="20"/>
          <w:szCs w:val="20"/>
          <w:lang w:val="en-GB"/>
        </w:rPr>
        <w:t>es</w:t>
      </w:r>
      <w:r w:rsidRPr="041E5C19">
        <w:rPr>
          <w:rFonts w:ascii="DeutscheBank" w:hAnsi="DeutscheBank"/>
          <w:sz w:val="20"/>
          <w:szCs w:val="20"/>
          <w:lang w:val="en-GB"/>
        </w:rPr>
        <w:t xml:space="preserve"> its attractiveness at a time when stability and predictability are </w:t>
      </w:r>
      <w:r w:rsidR="16FC6278" w:rsidRPr="041E5C19">
        <w:rPr>
          <w:rFonts w:ascii="DeutscheBank" w:hAnsi="DeutscheBank"/>
          <w:sz w:val="20"/>
          <w:szCs w:val="20"/>
          <w:lang w:val="en-GB"/>
        </w:rPr>
        <w:t>especially important</w:t>
      </w:r>
      <w:r w:rsidRPr="041E5C19">
        <w:rPr>
          <w:rFonts w:ascii="DeutscheBank" w:hAnsi="DeutscheBank"/>
          <w:sz w:val="20"/>
          <w:szCs w:val="20"/>
          <w:lang w:val="en-GB"/>
        </w:rPr>
        <w:t>.</w:t>
      </w:r>
    </w:p>
    <w:p w14:paraId="4D122E60" w14:textId="6344C244" w:rsidR="0008751D" w:rsidRPr="00476F1D" w:rsidRDefault="0008751D" w:rsidP="00AA76E2">
      <w:pPr>
        <w:spacing w:after="150" w:line="288" w:lineRule="auto"/>
        <w:rPr>
          <w:lang w:val="en-US"/>
        </w:rPr>
      </w:pPr>
      <w:r w:rsidRPr="00BB676A">
        <w:rPr>
          <w:rFonts w:ascii="DeutscheBank" w:hAnsi="DeutscheBank"/>
          <w:sz w:val="20"/>
          <w:szCs w:val="20"/>
          <w:lang w:val="en-GB"/>
        </w:rPr>
        <w:t xml:space="preserve">The regional </w:t>
      </w:r>
      <w:r w:rsidR="007E7F80">
        <w:rPr>
          <w:rFonts w:ascii="DeutscheBank" w:hAnsi="DeutscheBank"/>
          <w:sz w:val="20"/>
          <w:szCs w:val="20"/>
          <w:lang w:val="en-GB"/>
        </w:rPr>
        <w:t>breakdown provides additional insight</w:t>
      </w:r>
      <w:r w:rsidRPr="00BB676A">
        <w:rPr>
          <w:rFonts w:ascii="DeutscheBank" w:hAnsi="DeutscheBank"/>
          <w:sz w:val="20"/>
          <w:szCs w:val="20"/>
          <w:lang w:val="en-GB"/>
        </w:rPr>
        <w:t>. Resilience is rated most positively in the Middle East (82 percent), solidly in APAC (7</w:t>
      </w:r>
      <w:r w:rsidR="007A678C">
        <w:rPr>
          <w:rFonts w:ascii="DeutscheBank" w:hAnsi="DeutscheBank"/>
          <w:sz w:val="20"/>
          <w:szCs w:val="20"/>
          <w:lang w:val="en-GB"/>
        </w:rPr>
        <w:t>1</w:t>
      </w:r>
      <w:r w:rsidRPr="00BB676A">
        <w:rPr>
          <w:rFonts w:ascii="DeutscheBank" w:hAnsi="DeutscheBank"/>
          <w:sz w:val="20"/>
          <w:szCs w:val="20"/>
          <w:lang w:val="en-GB"/>
        </w:rPr>
        <w:t xml:space="preserve"> percent) and a little more cautiously in the Americas (65 percent). </w:t>
      </w:r>
      <w:r w:rsidR="39E7ED9D" w:rsidRPr="5F675D6C">
        <w:rPr>
          <w:rFonts w:ascii="DeutscheBank" w:hAnsi="DeutscheBank"/>
          <w:sz w:val="20"/>
          <w:szCs w:val="20"/>
          <w:lang w:val="en-GB"/>
        </w:rPr>
        <w:t xml:space="preserve">In all the other regions, too, </w:t>
      </w:r>
      <w:r w:rsidRPr="00BB676A">
        <w:rPr>
          <w:rFonts w:ascii="DeutscheBank" w:hAnsi="DeutscheBank"/>
          <w:sz w:val="20"/>
          <w:szCs w:val="20"/>
          <w:lang w:val="en-GB"/>
        </w:rPr>
        <w:t xml:space="preserve">a clear majority sees Europe as resilient. </w:t>
      </w:r>
    </w:p>
    <w:p w14:paraId="3DA553FA" w14:textId="6F00B28D" w:rsidR="0008751D" w:rsidRDefault="0008751D" w:rsidP="00AA76E2">
      <w:pPr>
        <w:spacing w:after="150" w:line="288" w:lineRule="auto"/>
        <w:rPr>
          <w:rFonts w:ascii="DeutscheBank" w:hAnsi="DeutscheBank"/>
          <w:sz w:val="20"/>
          <w:szCs w:val="20"/>
          <w:lang w:val="en-GB"/>
        </w:rPr>
      </w:pPr>
      <w:r w:rsidRPr="00BB676A">
        <w:rPr>
          <w:rFonts w:ascii="DeutscheBank" w:hAnsi="DeutscheBank"/>
          <w:sz w:val="20"/>
          <w:szCs w:val="20"/>
          <w:lang w:val="en-GB"/>
        </w:rPr>
        <w:t>Taken together, the findings in this chapter describe more than an attractive region</w:t>
      </w:r>
      <w:r w:rsidR="6F30C6E6" w:rsidRPr="5F675D6C">
        <w:rPr>
          <w:rFonts w:ascii="DeutscheBank" w:hAnsi="DeutscheBank"/>
          <w:sz w:val="20"/>
          <w:szCs w:val="20"/>
          <w:lang w:val="en-GB"/>
        </w:rPr>
        <w:t>.</w:t>
      </w:r>
      <w:r w:rsidRPr="00BB676A">
        <w:rPr>
          <w:rFonts w:ascii="DeutscheBank" w:hAnsi="DeutscheBank"/>
          <w:sz w:val="20"/>
          <w:szCs w:val="20"/>
          <w:lang w:val="en-GB"/>
        </w:rPr>
        <w:t xml:space="preserve"> Europe is widely favoured, its appeal grows with </w:t>
      </w:r>
      <w:r w:rsidR="2B5AB2C8" w:rsidRPr="5F675D6C">
        <w:rPr>
          <w:rFonts w:ascii="DeutscheBank" w:hAnsi="DeutscheBank"/>
          <w:sz w:val="20"/>
          <w:szCs w:val="20"/>
          <w:lang w:val="en-GB"/>
        </w:rPr>
        <w:t xml:space="preserve">investors’ </w:t>
      </w:r>
      <w:r w:rsidRPr="00BB676A">
        <w:rPr>
          <w:rFonts w:ascii="DeutscheBank" w:hAnsi="DeutscheBank"/>
          <w:sz w:val="20"/>
          <w:szCs w:val="20"/>
          <w:lang w:val="en-GB"/>
        </w:rPr>
        <w:t xml:space="preserve">experience, its importance is rising, and </w:t>
      </w:r>
      <w:r w:rsidR="45021E97" w:rsidRPr="5F675D6C">
        <w:rPr>
          <w:rFonts w:ascii="DeutscheBank" w:hAnsi="DeutscheBank"/>
          <w:sz w:val="20"/>
          <w:szCs w:val="20"/>
          <w:lang w:val="en-GB"/>
        </w:rPr>
        <w:t xml:space="preserve">investors are confident it will </w:t>
      </w:r>
      <w:r w:rsidRPr="00BB676A">
        <w:rPr>
          <w:rFonts w:ascii="DeutscheBank" w:hAnsi="DeutscheBank"/>
          <w:sz w:val="20"/>
          <w:szCs w:val="20"/>
          <w:lang w:val="en-GB"/>
        </w:rPr>
        <w:t>stay stable under pressure.</w:t>
      </w:r>
    </w:p>
    <w:p w14:paraId="0A9381A1" w14:textId="77777777" w:rsidR="0008751D" w:rsidRDefault="0008751D" w:rsidP="0008751D">
      <w:pPr>
        <w:rPr>
          <w:rFonts w:asciiTheme="minorHAnsi" w:eastAsiaTheme="minorHAnsi" w:hAnsiTheme="minorHAnsi" w:cstheme="minorBidi"/>
          <w:b/>
          <w:iCs/>
          <w:color w:val="000000" w:themeColor="text1"/>
          <w:sz w:val="20"/>
          <w:szCs w:val="18"/>
          <w:lang w:val="en-US" w:eastAsia="en-US"/>
          <w14:ligatures w14:val="standardContextual"/>
        </w:rPr>
      </w:pPr>
      <w:r w:rsidRPr="005E2C2D">
        <w:rPr>
          <w:lang w:val="en-GB"/>
        </w:rPr>
        <w:br w:type="page"/>
      </w:r>
    </w:p>
    <w:p w14:paraId="57E0AEDD" w14:textId="66320E3A" w:rsidR="0008751D" w:rsidRPr="00BB676A" w:rsidRDefault="0008751D" w:rsidP="0008751D">
      <w:pPr>
        <w:pStyle w:val="Caption"/>
        <w:rPr>
          <w:rFonts w:ascii="DeutscheBank" w:eastAsia="Arial" w:hAnsi="DeutscheBank" w:cs="Arial"/>
          <w:lang w:val="en-GB" w:eastAsia="de-DE"/>
          <w14:ligatures w14:val="none"/>
        </w:rPr>
      </w:pPr>
      <w:r w:rsidRPr="5F675D6C">
        <w:rPr>
          <w:rFonts w:ascii="DeutscheBank" w:eastAsia="Arial" w:hAnsi="DeutscheBank" w:cs="Arial"/>
          <w:lang w:val="en-GB" w:eastAsia="de-DE"/>
          <w14:ligatures w14:val="none"/>
        </w:rPr>
        <w:lastRenderedPageBreak/>
        <w:t xml:space="preserve">Figure 4: </w:t>
      </w:r>
      <w:r w:rsidRPr="5F675D6C">
        <w:rPr>
          <w:rFonts w:ascii="DeutscheBank" w:eastAsia="Arial" w:hAnsi="DeutscheBank" w:cs="Arial"/>
          <w:lang w:val="en-GB" w:eastAsia="de-DE"/>
        </w:rPr>
        <w:t>Europe</w:t>
      </w:r>
      <w:r w:rsidR="0F16D521" w:rsidRPr="5F675D6C">
        <w:rPr>
          <w:rFonts w:ascii="DeutscheBank" w:eastAsia="Arial" w:hAnsi="DeutscheBank" w:cs="Arial"/>
          <w:lang w:val="en-GB" w:eastAsia="de-DE"/>
        </w:rPr>
        <w:t>’s perceived resilience</w:t>
      </w:r>
      <w:r w:rsidR="6F63EECD" w:rsidRPr="243E4943">
        <w:rPr>
          <w:rFonts w:ascii="DeutscheBank" w:eastAsia="Arial" w:hAnsi="DeutscheBank" w:cs="Arial"/>
          <w:lang w:val="en-GB" w:eastAsia="de-DE"/>
        </w:rPr>
        <w:t>, by region</w:t>
      </w:r>
    </w:p>
    <w:p w14:paraId="61A14906" w14:textId="6BDB64AF" w:rsidR="0008751D" w:rsidRPr="00BB676A" w:rsidRDefault="0008751D" w:rsidP="0008751D">
      <w:pPr>
        <w:pStyle w:val="Copy"/>
        <w:rPr>
          <w:rFonts w:ascii="DeutscheBank" w:eastAsia="Arial" w:hAnsi="DeutscheBank" w:cs="Arial"/>
          <w:color w:val="222222"/>
          <w:lang w:val="en-GB" w:eastAsia="de-DE"/>
        </w:rPr>
      </w:pPr>
      <w:proofErr w:type="gramStart"/>
      <w:r w:rsidRPr="243E4943">
        <w:rPr>
          <w:rFonts w:ascii="DeutscheBank" w:eastAsia="Arial" w:hAnsi="DeutscheBank" w:cs="Arial"/>
          <w:color w:val="222222"/>
          <w:lang w:val="en-GB" w:eastAsia="de-DE"/>
        </w:rPr>
        <w:t>Top</w:t>
      </w:r>
      <w:r w:rsidR="2589C7F4" w:rsidRPr="5F675D6C">
        <w:rPr>
          <w:rFonts w:ascii="DeutscheBank" w:eastAsia="Arial" w:hAnsi="DeutscheBank" w:cs="Arial"/>
          <w:color w:val="222222"/>
          <w:lang w:val="en-GB" w:eastAsia="de-DE"/>
        </w:rPr>
        <w:t>-</w:t>
      </w:r>
      <w:r w:rsidRPr="5F675D6C">
        <w:rPr>
          <w:rFonts w:ascii="DeutscheBank" w:eastAsia="Arial" w:hAnsi="DeutscheBank" w:cs="Arial"/>
          <w:color w:val="222222"/>
          <w:lang w:val="en-GB" w:eastAsia="de-DE"/>
        </w:rPr>
        <w:t>2</w:t>
      </w:r>
      <w:proofErr w:type="gramEnd"/>
      <w:r w:rsidRPr="5F675D6C">
        <w:rPr>
          <w:rFonts w:ascii="DeutscheBank" w:eastAsia="Arial" w:hAnsi="DeutscheBank" w:cs="Arial"/>
          <w:color w:val="222222"/>
          <w:lang w:val="en-GB" w:eastAsia="de-DE"/>
        </w:rPr>
        <w:t xml:space="preserve"> Box of five-point scale </w:t>
      </w:r>
      <w:r w:rsidR="00971F53" w:rsidRPr="59FF1134">
        <w:rPr>
          <w:rFonts w:ascii="DeutscheBank" w:eastAsia="Arial" w:hAnsi="DeutscheBank" w:cs="Arial"/>
          <w:color w:val="222222"/>
          <w:lang w:val="en-GB" w:eastAsia="de-DE"/>
        </w:rPr>
        <w:t>(</w:t>
      </w:r>
      <w:r w:rsidR="00586B9D">
        <w:rPr>
          <w:rFonts w:ascii="DeutscheBank" w:eastAsia="Arial" w:hAnsi="DeutscheBank" w:cs="Arial"/>
          <w:color w:val="222222"/>
          <w:lang w:val="en-GB" w:eastAsia="de-DE"/>
        </w:rPr>
        <w:t>a</w:t>
      </w:r>
      <w:r w:rsidR="00971F53" w:rsidRPr="3F69A205">
        <w:rPr>
          <w:rFonts w:ascii="DeutscheBank" w:eastAsia="Arial" w:hAnsi="DeutscheBank" w:cs="Arial"/>
          <w:color w:val="222222"/>
          <w:lang w:val="en-GB" w:eastAsia="de-DE"/>
        </w:rPr>
        <w:t>ll respondents)</w:t>
      </w:r>
    </w:p>
    <w:p w14:paraId="1831F379" w14:textId="3BF07FF4" w:rsidR="00E65E2A" w:rsidRPr="00E65E2A" w:rsidRDefault="5CD3B3F4" w:rsidP="00507799">
      <w:pPr>
        <w:keepNext/>
        <w:spacing w:before="140" w:after="40"/>
        <w:jc w:val="center"/>
      </w:pPr>
      <w:r>
        <w:rPr>
          <w:noProof/>
        </w:rPr>
        <w:drawing>
          <wp:inline distT="0" distB="0" distL="0" distR="0" wp14:anchorId="51244374" wp14:editId="46C7B3CE">
            <wp:extent cx="4715124" cy="2844661"/>
            <wp:effectExtent l="0" t="0" r="0" b="0"/>
            <wp:docPr id="19064023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402309" name="Picture 1906402309"/>
                    <pic:cNvPicPr/>
                  </pic:nvPicPr>
                  <pic:blipFill>
                    <a:blip r:embed="rId15">
                      <a:extLst>
                        <a:ext uri="{28A0092B-C50C-407E-A947-70E740481C1C}">
                          <a14:useLocalDpi xmlns:a14="http://schemas.microsoft.com/office/drawing/2010/main"/>
                        </a:ext>
                      </a:extLst>
                    </a:blip>
                    <a:stretch>
                      <a:fillRect/>
                    </a:stretch>
                  </pic:blipFill>
                  <pic:spPr>
                    <a:xfrm>
                      <a:off x="0" y="0"/>
                      <a:ext cx="4726609" cy="2851590"/>
                    </a:xfrm>
                    <a:prstGeom prst="rect">
                      <a:avLst/>
                    </a:prstGeom>
                  </pic:spPr>
                </pic:pic>
              </a:graphicData>
            </a:graphic>
          </wp:inline>
        </w:drawing>
      </w:r>
    </w:p>
    <w:p w14:paraId="263FF613" w14:textId="4B2F69FD" w:rsidR="009A213A" w:rsidRPr="009A213A" w:rsidRDefault="009A213A" w:rsidP="009A213A">
      <w:pPr>
        <w:keepNext/>
        <w:spacing w:before="140" w:after="40"/>
        <w:jc w:val="center"/>
        <w:rPr>
          <w:rFonts w:ascii="DeutscheBank" w:hAnsi="DeutscheBank"/>
        </w:rPr>
      </w:pPr>
    </w:p>
    <w:p w14:paraId="7CE7F61B" w14:textId="7ED0001B" w:rsidR="00B00A95" w:rsidRPr="00B00A95" w:rsidRDefault="00B00A95" w:rsidP="00E65E2A">
      <w:pPr>
        <w:keepNext/>
        <w:spacing w:before="140" w:after="40"/>
        <w:rPr>
          <w:rFonts w:ascii="DeutscheBank" w:hAnsi="DeutscheBank"/>
        </w:rPr>
      </w:pPr>
    </w:p>
    <w:p w14:paraId="2B0DE2C0" w14:textId="77777777" w:rsidR="0008751D" w:rsidRPr="005E2C2D" w:rsidRDefault="0008751D" w:rsidP="0008751D">
      <w:pPr>
        <w:spacing w:after="180"/>
        <w:rPr>
          <w:rFonts w:ascii="DeutscheBank" w:hAnsi="DeutscheBank"/>
          <w:color w:val="000000" w:themeColor="text1"/>
          <w:sz w:val="16"/>
          <w:szCs w:val="16"/>
          <w:lang w:val="en-GB"/>
        </w:rPr>
      </w:pPr>
      <w:r w:rsidRPr="371D15A3">
        <w:rPr>
          <w:rFonts w:ascii="DeutscheBank" w:hAnsi="DeutscheBank"/>
          <w:b/>
          <w:bCs/>
          <w:color w:val="000000" w:themeColor="text1"/>
          <w:sz w:val="16"/>
          <w:szCs w:val="16"/>
          <w:lang w:val="en-GB"/>
        </w:rPr>
        <w:t xml:space="preserve">Source: </w:t>
      </w:r>
      <w:r w:rsidRPr="371D15A3">
        <w:rPr>
          <w:rFonts w:ascii="DeutscheBank" w:hAnsi="DeutscheBank"/>
          <w:color w:val="000000" w:themeColor="text1"/>
          <w:sz w:val="16"/>
          <w:szCs w:val="16"/>
          <w:lang w:val="en-GB"/>
        </w:rPr>
        <w:t>Global Sentiment Survey on Europe 2026, B2B online survey. Base</w:t>
      </w:r>
      <w:r w:rsidRPr="371D15A3">
        <w:rPr>
          <w:rFonts w:ascii="DeutscheBank" w:hAnsi="DeutscheBank"/>
          <w:b/>
          <w:bCs/>
          <w:color w:val="000000" w:themeColor="text1"/>
          <w:sz w:val="16"/>
          <w:szCs w:val="16"/>
          <w:lang w:val="en-GB"/>
        </w:rPr>
        <w:t>:</w:t>
      </w:r>
      <w:r w:rsidRPr="371D15A3">
        <w:rPr>
          <w:rFonts w:ascii="DeutscheBank" w:hAnsi="DeutscheBank"/>
          <w:color w:val="000000" w:themeColor="text1"/>
          <w:sz w:val="16"/>
          <w:szCs w:val="16"/>
          <w:lang w:val="en-GB"/>
        </w:rPr>
        <w:t xml:space="preserve"> n = 1,200 (APAC 600, Middle East 200, Americas 400)</w:t>
      </w:r>
    </w:p>
    <w:p w14:paraId="4EC09B05" w14:textId="09D2E53F" w:rsidR="0008751D" w:rsidRPr="00BB676A" w:rsidRDefault="0008751D" w:rsidP="0008751D">
      <w:pPr>
        <w:pStyle w:val="Heading1"/>
        <w:pageBreakBefore/>
        <w:jc w:val="both"/>
        <w:rPr>
          <w:rFonts w:ascii="DeutscheBank" w:hAnsi="DeutscheBank"/>
          <w:sz w:val="28"/>
          <w:szCs w:val="28"/>
          <w:lang w:val="en-GB"/>
        </w:rPr>
      </w:pPr>
      <w:bookmarkStart w:id="18" w:name="_Toc239930527"/>
      <w:bookmarkStart w:id="19" w:name="_Toc240474428"/>
      <w:r w:rsidRPr="00BB676A">
        <w:rPr>
          <w:rFonts w:ascii="DeutscheBank" w:hAnsi="DeutscheBank"/>
          <w:sz w:val="28"/>
          <w:szCs w:val="28"/>
          <w:lang w:val="en-GB"/>
        </w:rPr>
        <w:lastRenderedPageBreak/>
        <w:t>Confidence</w:t>
      </w:r>
      <w:r w:rsidR="00595CF8">
        <w:rPr>
          <w:rFonts w:ascii="DeutscheBank" w:hAnsi="DeutscheBank"/>
          <w:sz w:val="28"/>
          <w:szCs w:val="28"/>
          <w:lang w:val="en-GB"/>
        </w:rPr>
        <w:t xml:space="preserve"> in Europe is tran</w:t>
      </w:r>
      <w:r w:rsidR="00457929">
        <w:rPr>
          <w:rFonts w:ascii="DeutscheBank" w:hAnsi="DeutscheBank"/>
          <w:sz w:val="28"/>
          <w:szCs w:val="28"/>
          <w:lang w:val="en-GB"/>
        </w:rPr>
        <w:t xml:space="preserve">slating </w:t>
      </w:r>
      <w:r w:rsidRPr="00BB676A">
        <w:rPr>
          <w:rFonts w:ascii="DeutscheBank" w:hAnsi="DeutscheBank"/>
          <w:sz w:val="28"/>
          <w:szCs w:val="28"/>
          <w:lang w:val="en-GB"/>
        </w:rPr>
        <w:t>into investment plan</w:t>
      </w:r>
      <w:r w:rsidR="00457929">
        <w:rPr>
          <w:rFonts w:ascii="DeutscheBank" w:hAnsi="DeutscheBank"/>
          <w:sz w:val="28"/>
          <w:szCs w:val="28"/>
          <w:lang w:val="en-GB"/>
        </w:rPr>
        <w:t>s</w:t>
      </w:r>
      <w:bookmarkEnd w:id="18"/>
      <w:bookmarkEnd w:id="19"/>
    </w:p>
    <w:p w14:paraId="4E07DC4B" w14:textId="39AA38AE" w:rsidR="0008751D" w:rsidRPr="00BB676A" w:rsidRDefault="0008751D" w:rsidP="00AA76E2">
      <w:pPr>
        <w:spacing w:after="150" w:line="288" w:lineRule="auto"/>
        <w:rPr>
          <w:rFonts w:ascii="DeutscheBank" w:hAnsi="DeutscheBank"/>
          <w:sz w:val="20"/>
          <w:szCs w:val="20"/>
          <w:lang w:val="en-GB"/>
        </w:rPr>
      </w:pPr>
      <w:r w:rsidRPr="00BB676A">
        <w:rPr>
          <w:rFonts w:ascii="DeutscheBank" w:hAnsi="DeutscheBank"/>
          <w:sz w:val="20"/>
          <w:szCs w:val="20"/>
          <w:lang w:val="en-GB"/>
        </w:rPr>
        <w:t xml:space="preserve">Europe's strong standing among investors is important, but the real measure of success is whether it influences </w:t>
      </w:r>
      <w:r w:rsidR="118C3437" w:rsidRPr="5F675D6C">
        <w:rPr>
          <w:rFonts w:ascii="DeutscheBank" w:hAnsi="DeutscheBank"/>
          <w:sz w:val="20"/>
          <w:szCs w:val="20"/>
          <w:lang w:val="en-GB"/>
        </w:rPr>
        <w:t xml:space="preserve">actual </w:t>
      </w:r>
      <w:r w:rsidRPr="00BB676A">
        <w:rPr>
          <w:rFonts w:ascii="DeutscheBank" w:hAnsi="DeutscheBank"/>
          <w:sz w:val="20"/>
          <w:szCs w:val="20"/>
          <w:lang w:val="en-GB"/>
        </w:rPr>
        <w:t xml:space="preserve">investment behaviour. This chapter examines how positive sentiment translates into intentions to invest, expand and allocate resources. The results indicate that investor confidence is </w:t>
      </w:r>
      <w:r w:rsidR="46A1EF4D" w:rsidRPr="5F675D6C">
        <w:rPr>
          <w:rFonts w:ascii="DeutscheBank" w:hAnsi="DeutscheBank"/>
          <w:sz w:val="20"/>
          <w:szCs w:val="20"/>
          <w:lang w:val="en-GB"/>
        </w:rPr>
        <w:t xml:space="preserve">increasingly translating into </w:t>
      </w:r>
      <w:r w:rsidRPr="00BB676A">
        <w:rPr>
          <w:rFonts w:ascii="DeutscheBank" w:hAnsi="DeutscheBank"/>
          <w:sz w:val="20"/>
          <w:szCs w:val="20"/>
          <w:lang w:val="en-GB"/>
        </w:rPr>
        <w:t xml:space="preserve">investment </w:t>
      </w:r>
      <w:r w:rsidRPr="5F675D6C">
        <w:rPr>
          <w:rFonts w:ascii="DeutscheBank" w:hAnsi="DeutscheBank"/>
          <w:sz w:val="20"/>
          <w:szCs w:val="20"/>
          <w:lang w:val="en-GB"/>
        </w:rPr>
        <w:t>p</w:t>
      </w:r>
      <w:r w:rsidR="02DE36BD" w:rsidRPr="5F675D6C">
        <w:rPr>
          <w:rFonts w:ascii="DeutscheBank" w:hAnsi="DeutscheBank"/>
          <w:sz w:val="20"/>
          <w:szCs w:val="20"/>
          <w:lang w:val="en-GB"/>
        </w:rPr>
        <w:t>lans</w:t>
      </w:r>
      <w:r w:rsidRPr="00BB676A">
        <w:rPr>
          <w:rFonts w:ascii="DeutscheBank" w:hAnsi="DeutscheBank"/>
          <w:sz w:val="20"/>
          <w:szCs w:val="20"/>
          <w:lang w:val="en-GB"/>
        </w:rPr>
        <w:t xml:space="preserve">. </w:t>
      </w:r>
    </w:p>
    <w:p w14:paraId="1E9AFC0B" w14:textId="77777777" w:rsidR="0008751D" w:rsidRPr="001E5405" w:rsidRDefault="0008751D" w:rsidP="0008751D">
      <w:pPr>
        <w:spacing w:after="150" w:line="288" w:lineRule="auto"/>
        <w:jc w:val="both"/>
        <w:rPr>
          <w:rFonts w:ascii="DeutscheBank" w:hAnsi="DeutscheBank"/>
          <w:lang w:val="en-GB"/>
        </w:rPr>
      </w:pPr>
    </w:p>
    <w:p w14:paraId="3AC400D2" w14:textId="77777777" w:rsidR="0008751D" w:rsidRPr="001E5405" w:rsidRDefault="0008751D" w:rsidP="0008751D">
      <w:pPr>
        <w:spacing w:before="40" w:after="90"/>
        <w:jc w:val="both"/>
        <w:rPr>
          <w:rFonts w:ascii="DeutscheBank" w:hAnsi="DeutscheBank"/>
        </w:rPr>
      </w:pPr>
      <w:r w:rsidRPr="001E5405">
        <w:rPr>
          <w:rFonts w:ascii="DeutscheBank" w:hAnsi="DeutscheBank"/>
          <w:b/>
          <w:bCs/>
          <w:caps/>
          <w:color w:val="5A6472"/>
          <w:sz w:val="18"/>
          <w:szCs w:val="18"/>
        </w:rPr>
        <w:t>At a glance</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36"/>
        <w:gridCol w:w="3236"/>
        <w:gridCol w:w="3236"/>
      </w:tblGrid>
      <w:tr w:rsidR="0008751D" w:rsidRPr="00C66C08" w14:paraId="42ABE444" w14:textId="77777777" w:rsidTr="5F675D6C">
        <w:trPr>
          <w:trHeight w:val="891"/>
        </w:trPr>
        <w:tc>
          <w:tcPr>
            <w:tcW w:w="323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0C60556E" w14:textId="77777777" w:rsidR="0008751D" w:rsidRPr="001E5405" w:rsidRDefault="0008751D" w:rsidP="009C2716">
            <w:pPr>
              <w:spacing w:after="40"/>
              <w:jc w:val="both"/>
              <w:rPr>
                <w:rFonts w:ascii="DeutscheBank" w:hAnsi="DeutscheBank"/>
                <w:lang w:val="en-GB"/>
              </w:rPr>
            </w:pPr>
            <w:r w:rsidRPr="001E5405">
              <w:rPr>
                <w:rFonts w:ascii="DeutscheBank" w:hAnsi="DeutscheBank"/>
                <w:b/>
                <w:bCs/>
                <w:color w:val="0069B1"/>
                <w:sz w:val="30"/>
                <w:szCs w:val="30"/>
                <w:lang w:val="en-GB"/>
              </w:rPr>
              <w:t>61%</w:t>
            </w:r>
          </w:p>
          <w:p w14:paraId="66BA07F8" w14:textId="1AF1AC05" w:rsidR="0008751D" w:rsidRPr="001E5405" w:rsidRDefault="0008751D" w:rsidP="00013E43">
            <w:pPr>
              <w:rPr>
                <w:rFonts w:ascii="DeutscheBank" w:hAnsi="DeutscheBank"/>
                <w:lang w:val="en-GB"/>
              </w:rPr>
            </w:pPr>
            <w:r w:rsidRPr="001E5405">
              <w:rPr>
                <w:rFonts w:ascii="DeutscheBank" w:hAnsi="DeutscheBank"/>
                <w:color w:val="5A6472"/>
                <w:sz w:val="16"/>
                <w:szCs w:val="16"/>
                <w:lang w:val="en-GB"/>
              </w:rPr>
              <w:t xml:space="preserve">are invested </w:t>
            </w:r>
            <w:r w:rsidR="7E4C8B43" w:rsidRPr="5F675D6C">
              <w:rPr>
                <w:rFonts w:ascii="DeutscheBank" w:hAnsi="DeutscheBank"/>
                <w:color w:val="5A6472"/>
                <w:sz w:val="16"/>
                <w:szCs w:val="16"/>
                <w:lang w:val="en-GB"/>
              </w:rPr>
              <w:t xml:space="preserve">in Europe </w:t>
            </w:r>
            <w:r w:rsidRPr="001E5405">
              <w:rPr>
                <w:rFonts w:ascii="DeutscheBank" w:hAnsi="DeutscheBank"/>
                <w:color w:val="5A6472"/>
                <w:sz w:val="16"/>
                <w:szCs w:val="16"/>
                <w:lang w:val="en-GB"/>
              </w:rPr>
              <w:t>and plan to expand</w:t>
            </w:r>
          </w:p>
        </w:tc>
        <w:tc>
          <w:tcPr>
            <w:tcW w:w="323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09D098FA" w14:textId="77777777" w:rsidR="0008751D" w:rsidRPr="001E5405" w:rsidRDefault="0008751D" w:rsidP="009C2716">
            <w:pPr>
              <w:spacing w:after="40"/>
              <w:jc w:val="both"/>
              <w:rPr>
                <w:rFonts w:ascii="DeutscheBank" w:hAnsi="DeutscheBank"/>
                <w:lang w:val="en-GB"/>
              </w:rPr>
            </w:pPr>
            <w:r w:rsidRPr="001E5405">
              <w:rPr>
                <w:rFonts w:ascii="DeutscheBank" w:hAnsi="DeutscheBank"/>
                <w:b/>
                <w:bCs/>
                <w:color w:val="0069B1"/>
                <w:sz w:val="30"/>
                <w:szCs w:val="30"/>
                <w:lang w:val="en-GB"/>
              </w:rPr>
              <w:t>33%</w:t>
            </w:r>
          </w:p>
          <w:p w14:paraId="2289672B" w14:textId="77777777" w:rsidR="0008751D" w:rsidRPr="001E5405" w:rsidRDefault="0008751D" w:rsidP="00013E43">
            <w:pPr>
              <w:rPr>
                <w:rFonts w:ascii="DeutscheBank" w:hAnsi="DeutscheBank"/>
                <w:lang w:val="en-GB"/>
              </w:rPr>
            </w:pPr>
            <w:r w:rsidRPr="001E5405">
              <w:rPr>
                <w:rFonts w:ascii="DeutscheBank" w:hAnsi="DeutscheBank"/>
                <w:color w:val="5A6472"/>
                <w:sz w:val="16"/>
                <w:szCs w:val="16"/>
                <w:lang w:val="en-GB"/>
              </w:rPr>
              <w:t xml:space="preserve">are planning or </w:t>
            </w:r>
            <w:r>
              <w:rPr>
                <w:rFonts w:ascii="DeutscheBank" w:hAnsi="DeutscheBank"/>
                <w:color w:val="5A6472"/>
                <w:sz w:val="16"/>
                <w:szCs w:val="16"/>
                <w:lang w:val="en-GB"/>
              </w:rPr>
              <w:t>consider</w:t>
            </w:r>
            <w:r w:rsidRPr="001E5405">
              <w:rPr>
                <w:rFonts w:ascii="DeutscheBank" w:hAnsi="DeutscheBank"/>
                <w:color w:val="5A6472"/>
                <w:sz w:val="16"/>
                <w:szCs w:val="16"/>
                <w:lang w:val="en-GB"/>
              </w:rPr>
              <w:t>ing market entry</w:t>
            </w:r>
          </w:p>
        </w:tc>
        <w:tc>
          <w:tcPr>
            <w:tcW w:w="323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0C47A6E1" w14:textId="77777777" w:rsidR="0008751D" w:rsidRPr="001E5405" w:rsidRDefault="0008751D" w:rsidP="009C2716">
            <w:pPr>
              <w:spacing w:after="40"/>
              <w:jc w:val="both"/>
              <w:rPr>
                <w:rFonts w:ascii="DeutscheBank" w:hAnsi="DeutscheBank"/>
                <w:lang w:val="en-GB"/>
              </w:rPr>
            </w:pPr>
            <w:r w:rsidRPr="001E5405">
              <w:rPr>
                <w:rFonts w:ascii="DeutscheBank" w:hAnsi="DeutscheBank"/>
                <w:b/>
                <w:bCs/>
                <w:color w:val="0069B1"/>
                <w:sz w:val="30"/>
                <w:szCs w:val="30"/>
                <w:lang w:val="en-GB"/>
              </w:rPr>
              <w:t>82%</w:t>
            </w:r>
          </w:p>
          <w:p w14:paraId="33D9B971" w14:textId="35AA66B0" w:rsidR="0008751D" w:rsidRPr="001E5405" w:rsidRDefault="0008751D" w:rsidP="00013E43">
            <w:pPr>
              <w:rPr>
                <w:rFonts w:ascii="DeutscheBank" w:hAnsi="DeutscheBank"/>
                <w:color w:val="5A6472"/>
                <w:sz w:val="16"/>
                <w:szCs w:val="16"/>
                <w:lang w:val="en-GB"/>
              </w:rPr>
            </w:pPr>
            <w:r w:rsidRPr="001E5405">
              <w:rPr>
                <w:rFonts w:ascii="DeutscheBank" w:hAnsi="DeutscheBank"/>
                <w:color w:val="5A6472"/>
                <w:sz w:val="16"/>
                <w:szCs w:val="16"/>
                <w:lang w:val="en-GB"/>
              </w:rPr>
              <w:t>of Americas-based firms are already invested</w:t>
            </w:r>
            <w:r w:rsidR="75831445" w:rsidRPr="5F675D6C">
              <w:rPr>
                <w:rFonts w:ascii="DeutscheBank" w:hAnsi="DeutscheBank"/>
                <w:color w:val="5A6472"/>
                <w:sz w:val="16"/>
                <w:szCs w:val="16"/>
                <w:lang w:val="en-GB"/>
              </w:rPr>
              <w:t xml:space="preserve"> in Europe</w:t>
            </w:r>
          </w:p>
        </w:tc>
      </w:tr>
    </w:tbl>
    <w:p w14:paraId="5760D1BA" w14:textId="77777777" w:rsidR="0008751D" w:rsidRPr="001E5405" w:rsidRDefault="0008751D" w:rsidP="0008751D">
      <w:pPr>
        <w:spacing w:after="80"/>
        <w:jc w:val="both"/>
        <w:rPr>
          <w:rFonts w:ascii="DeutscheBank" w:hAnsi="DeutscheBank"/>
          <w:lang w:val="en-GB"/>
        </w:rPr>
      </w:pPr>
    </w:p>
    <w:p w14:paraId="385AC249" w14:textId="53A785CF" w:rsidR="0008751D" w:rsidRPr="00BB676A" w:rsidRDefault="0008751D" w:rsidP="00AA76E2">
      <w:pPr>
        <w:pStyle w:val="Heading2"/>
        <w:rPr>
          <w:rFonts w:ascii="DeutscheBank" w:hAnsi="DeutscheBank"/>
          <w:color w:val="000000" w:themeColor="text1"/>
          <w:sz w:val="20"/>
          <w:szCs w:val="20"/>
          <w:lang w:val="en-GB"/>
        </w:rPr>
      </w:pPr>
      <w:bookmarkStart w:id="20" w:name="_Toc239842190"/>
      <w:bookmarkStart w:id="21" w:name="_Toc239930528"/>
      <w:r w:rsidRPr="00BB676A">
        <w:rPr>
          <w:rFonts w:ascii="DeutscheBank" w:hAnsi="DeutscheBank"/>
          <w:color w:val="000000" w:themeColor="text1"/>
          <w:sz w:val="20"/>
          <w:szCs w:val="20"/>
          <w:lang w:val="en-GB"/>
        </w:rPr>
        <w:t xml:space="preserve">From </w:t>
      </w:r>
      <w:r w:rsidR="00675557">
        <w:rPr>
          <w:rFonts w:ascii="DeutscheBank" w:hAnsi="DeutscheBank"/>
          <w:color w:val="000000" w:themeColor="text1"/>
          <w:sz w:val="20"/>
          <w:szCs w:val="20"/>
          <w:lang w:val="en-GB"/>
        </w:rPr>
        <w:t>confidence</w:t>
      </w:r>
      <w:r w:rsidRPr="00BB676A">
        <w:rPr>
          <w:rFonts w:ascii="DeutscheBank" w:hAnsi="DeutscheBank"/>
          <w:color w:val="000000" w:themeColor="text1"/>
          <w:sz w:val="20"/>
          <w:szCs w:val="20"/>
          <w:lang w:val="en-GB"/>
        </w:rPr>
        <w:t xml:space="preserve"> to concrete plans</w:t>
      </w:r>
      <w:bookmarkEnd w:id="20"/>
      <w:bookmarkEnd w:id="21"/>
    </w:p>
    <w:p w14:paraId="0CDC2BB6" w14:textId="6DC343AB" w:rsidR="0008751D" w:rsidRPr="00BB676A" w:rsidRDefault="0008751D" w:rsidP="00AA76E2">
      <w:pPr>
        <w:spacing w:after="150" w:line="288" w:lineRule="auto"/>
        <w:rPr>
          <w:rFonts w:ascii="DeutscheBank" w:hAnsi="DeutscheBank"/>
          <w:sz w:val="20"/>
          <w:szCs w:val="20"/>
          <w:lang w:val="en-GB"/>
        </w:rPr>
      </w:pPr>
      <w:r w:rsidRPr="5F675D6C">
        <w:rPr>
          <w:rFonts w:ascii="DeutscheBank" w:hAnsi="DeutscheBank"/>
          <w:sz w:val="20"/>
          <w:szCs w:val="20"/>
          <w:lang w:val="en-GB"/>
        </w:rPr>
        <w:t xml:space="preserve">Among </w:t>
      </w:r>
      <w:r w:rsidR="0F9CE1C9" w:rsidRPr="5F675D6C">
        <w:rPr>
          <w:rFonts w:ascii="DeutscheBank" w:hAnsi="DeutscheBank"/>
          <w:sz w:val="20"/>
          <w:szCs w:val="20"/>
          <w:lang w:val="en-GB"/>
        </w:rPr>
        <w:t>the surveyed</w:t>
      </w:r>
      <w:r w:rsidRPr="00BB676A">
        <w:rPr>
          <w:rFonts w:ascii="DeutscheBank" w:hAnsi="DeutscheBank"/>
          <w:sz w:val="20"/>
          <w:szCs w:val="20"/>
          <w:lang w:val="en-GB"/>
        </w:rPr>
        <w:t xml:space="preserve"> companies, 61 percent are already invested </w:t>
      </w:r>
      <w:r w:rsidR="27D5EA32" w:rsidRPr="5F675D6C">
        <w:rPr>
          <w:rFonts w:ascii="DeutscheBank" w:hAnsi="DeutscheBank"/>
          <w:sz w:val="20"/>
          <w:szCs w:val="20"/>
          <w:lang w:val="en-GB"/>
        </w:rPr>
        <w:t xml:space="preserve">in Europe </w:t>
      </w:r>
      <w:r w:rsidRPr="00BB676A">
        <w:rPr>
          <w:rFonts w:ascii="DeutscheBank" w:hAnsi="DeutscheBank"/>
          <w:sz w:val="20"/>
          <w:szCs w:val="20"/>
          <w:lang w:val="en-GB"/>
        </w:rPr>
        <w:t>and plan to expand within five years</w:t>
      </w:r>
      <w:r w:rsidR="1FBA545D" w:rsidRPr="5F675D6C">
        <w:rPr>
          <w:rFonts w:ascii="DeutscheBank" w:hAnsi="DeutscheBank"/>
          <w:sz w:val="20"/>
          <w:szCs w:val="20"/>
          <w:lang w:val="en-GB"/>
        </w:rPr>
        <w:t>. Only 6 percent are invested with no plans to expand. A</w:t>
      </w:r>
      <w:r w:rsidR="7485A4B0" w:rsidRPr="5F675D6C">
        <w:rPr>
          <w:rFonts w:ascii="DeutscheBank" w:hAnsi="DeutscheBank"/>
          <w:sz w:val="20"/>
          <w:szCs w:val="20"/>
          <w:lang w:val="en-GB"/>
        </w:rPr>
        <w:t xml:space="preserve"> </w:t>
      </w:r>
      <w:r w:rsidRPr="00BB676A">
        <w:rPr>
          <w:rFonts w:ascii="DeutscheBank" w:hAnsi="DeutscheBank"/>
          <w:sz w:val="20"/>
          <w:szCs w:val="20"/>
          <w:lang w:val="en-GB"/>
        </w:rPr>
        <w:t xml:space="preserve">further 33 percent </w:t>
      </w:r>
      <w:r w:rsidR="49EBB34D" w:rsidRPr="5F675D6C">
        <w:rPr>
          <w:rFonts w:ascii="DeutscheBank" w:hAnsi="DeutscheBank"/>
          <w:sz w:val="20"/>
          <w:szCs w:val="20"/>
          <w:lang w:val="en-GB"/>
        </w:rPr>
        <w:t xml:space="preserve">of all respondents </w:t>
      </w:r>
      <w:r w:rsidRPr="5F675D6C">
        <w:rPr>
          <w:rFonts w:ascii="DeutscheBank" w:hAnsi="DeutscheBank"/>
          <w:sz w:val="20"/>
          <w:szCs w:val="20"/>
          <w:lang w:val="en-GB"/>
        </w:rPr>
        <w:t xml:space="preserve">are </w:t>
      </w:r>
      <w:r w:rsidR="19E19FD3" w:rsidRPr="5F675D6C">
        <w:rPr>
          <w:rFonts w:ascii="DeutscheBank" w:hAnsi="DeutscheBank"/>
          <w:sz w:val="20"/>
          <w:szCs w:val="20"/>
          <w:lang w:val="en-GB"/>
        </w:rPr>
        <w:t xml:space="preserve">not invested in Europe but </w:t>
      </w:r>
      <w:r w:rsidRPr="00BB676A">
        <w:rPr>
          <w:rFonts w:ascii="DeutscheBank" w:hAnsi="DeutscheBank"/>
          <w:sz w:val="20"/>
          <w:szCs w:val="20"/>
          <w:lang w:val="en-GB"/>
        </w:rPr>
        <w:t xml:space="preserve">are planning or actively considering </w:t>
      </w:r>
      <w:r w:rsidR="2B5FA306" w:rsidRPr="5F675D6C">
        <w:rPr>
          <w:rFonts w:ascii="DeutscheBank" w:hAnsi="DeutscheBank"/>
          <w:sz w:val="20"/>
          <w:szCs w:val="20"/>
          <w:lang w:val="en-GB"/>
        </w:rPr>
        <w:t xml:space="preserve">market </w:t>
      </w:r>
      <w:r w:rsidRPr="00BB676A">
        <w:rPr>
          <w:rFonts w:ascii="DeutscheBank" w:hAnsi="DeutscheBank"/>
          <w:sz w:val="20"/>
          <w:szCs w:val="20"/>
          <w:lang w:val="en-GB"/>
        </w:rPr>
        <w:t>entry. The large majority are therefore either deepening their presence in Europe or preparing to establish one.</w:t>
      </w:r>
    </w:p>
    <w:p w14:paraId="313A5294" w14:textId="634F290E" w:rsidR="0008751D" w:rsidRPr="00BB676A" w:rsidRDefault="0008751D" w:rsidP="5F675D6C">
      <w:pPr>
        <w:spacing w:line="300" w:lineRule="auto"/>
        <w:rPr>
          <w:rFonts w:ascii="DeutscheBank" w:hAnsi="DeutscheBank"/>
          <w:sz w:val="20"/>
          <w:szCs w:val="20"/>
          <w:lang w:val="en-GB"/>
        </w:rPr>
      </w:pPr>
      <w:r w:rsidRPr="00BB676A">
        <w:rPr>
          <w:rFonts w:ascii="DeutscheBank" w:hAnsi="DeutscheBank"/>
          <w:sz w:val="20"/>
          <w:szCs w:val="20"/>
          <w:lang w:val="en-GB"/>
        </w:rPr>
        <w:t xml:space="preserve"> </w:t>
      </w:r>
      <w:r w:rsidR="00394AE1">
        <w:rPr>
          <w:rFonts w:ascii="DeutscheBank" w:hAnsi="DeutscheBank"/>
          <w:sz w:val="20"/>
          <w:szCs w:val="20"/>
          <w:lang w:val="en-GB"/>
        </w:rPr>
        <w:t xml:space="preserve">Investment intentions also vary by </w:t>
      </w:r>
      <w:r w:rsidRPr="00BB676A">
        <w:rPr>
          <w:rFonts w:ascii="DeutscheBank" w:hAnsi="DeutscheBank"/>
          <w:sz w:val="20"/>
          <w:szCs w:val="20"/>
          <w:lang w:val="en-GB"/>
        </w:rPr>
        <w:t>company size</w:t>
      </w:r>
      <w:r w:rsidR="00394AE1">
        <w:rPr>
          <w:rFonts w:ascii="DeutscheBank" w:hAnsi="DeutscheBank"/>
          <w:sz w:val="20"/>
          <w:szCs w:val="20"/>
          <w:lang w:val="en-GB"/>
        </w:rPr>
        <w:t xml:space="preserve">. Around </w:t>
      </w:r>
      <w:r w:rsidRPr="00BB676A">
        <w:rPr>
          <w:rFonts w:ascii="DeutscheBank" w:hAnsi="DeutscheBank"/>
          <w:sz w:val="20"/>
          <w:szCs w:val="20"/>
          <w:lang w:val="en-GB"/>
        </w:rPr>
        <w:t xml:space="preserve">three-quarters of </w:t>
      </w:r>
      <w:r w:rsidR="00394AE1">
        <w:rPr>
          <w:rFonts w:ascii="DeutscheBank" w:hAnsi="DeutscheBank"/>
          <w:sz w:val="20"/>
          <w:szCs w:val="20"/>
          <w:lang w:val="en-GB"/>
        </w:rPr>
        <w:t>companies</w:t>
      </w:r>
      <w:r w:rsidRPr="00BB676A">
        <w:rPr>
          <w:rFonts w:ascii="DeutscheBank" w:hAnsi="DeutscheBank"/>
          <w:sz w:val="20"/>
          <w:szCs w:val="20"/>
          <w:lang w:val="en-GB"/>
        </w:rPr>
        <w:t xml:space="preserve"> with</w:t>
      </w:r>
      <w:r w:rsidR="005A72EB">
        <w:rPr>
          <w:rFonts w:ascii="DeutscheBank" w:hAnsi="DeutscheBank"/>
          <w:sz w:val="20"/>
          <w:szCs w:val="20"/>
          <w:lang w:val="en-GB"/>
        </w:rPr>
        <w:t xml:space="preserve"> at least</w:t>
      </w:r>
      <w:r w:rsidRPr="00BB676A">
        <w:rPr>
          <w:rFonts w:ascii="DeutscheBank" w:hAnsi="DeutscheBank"/>
          <w:sz w:val="20"/>
          <w:szCs w:val="20"/>
          <w:lang w:val="en-GB"/>
        </w:rPr>
        <w:t xml:space="preserve"> 500</w:t>
      </w:r>
      <w:r w:rsidRPr="00BB676A" w:rsidDel="005A72EB">
        <w:rPr>
          <w:rFonts w:ascii="DeutscheBank" w:hAnsi="DeutscheBank"/>
          <w:sz w:val="20"/>
          <w:szCs w:val="20"/>
          <w:lang w:val="en-GB"/>
        </w:rPr>
        <w:t xml:space="preserve"> </w:t>
      </w:r>
      <w:r w:rsidRPr="00BB676A">
        <w:rPr>
          <w:rFonts w:ascii="DeutscheBank" w:hAnsi="DeutscheBank"/>
          <w:sz w:val="20"/>
          <w:szCs w:val="20"/>
          <w:lang w:val="en-GB"/>
        </w:rPr>
        <w:t>employees are already invested</w:t>
      </w:r>
      <w:r w:rsidR="008D0B20">
        <w:rPr>
          <w:rFonts w:ascii="DeutscheBank" w:hAnsi="DeutscheBank"/>
          <w:sz w:val="20"/>
          <w:szCs w:val="20"/>
          <w:lang w:val="en-GB"/>
        </w:rPr>
        <w:t xml:space="preserve"> in Europe, compared with </w:t>
      </w:r>
      <w:r w:rsidRPr="00BB676A">
        <w:rPr>
          <w:rFonts w:ascii="DeutscheBank" w:hAnsi="DeutscheBank"/>
          <w:sz w:val="20"/>
          <w:szCs w:val="20"/>
          <w:lang w:val="en-GB"/>
        </w:rPr>
        <w:t>roughly half of those with 100 to 249 employees</w:t>
      </w:r>
      <w:r w:rsidR="00BF7CCC">
        <w:rPr>
          <w:rFonts w:ascii="DeutscheBank" w:hAnsi="DeutscheBank"/>
          <w:sz w:val="20"/>
          <w:szCs w:val="20"/>
          <w:lang w:val="en-GB"/>
        </w:rPr>
        <w:t xml:space="preserve">. </w:t>
      </w:r>
      <w:r w:rsidR="3FA6600D" w:rsidRPr="00CA3651">
        <w:rPr>
          <w:rFonts w:ascii="DeutscheBank" w:hAnsi="DeutscheBank"/>
          <w:sz w:val="20"/>
          <w:szCs w:val="20"/>
          <w:lang w:val="en-GB"/>
        </w:rPr>
        <w:t>This suggests that medium-sized companies</w:t>
      </w:r>
      <w:proofErr w:type="gramStart"/>
      <w:r w:rsidR="3FA6600D" w:rsidRPr="00CA3651">
        <w:rPr>
          <w:rFonts w:ascii="DeutscheBank" w:hAnsi="DeutscheBank"/>
          <w:sz w:val="20"/>
          <w:szCs w:val="20"/>
          <w:lang w:val="en-GB"/>
        </w:rPr>
        <w:t>, in particular, still</w:t>
      </w:r>
      <w:proofErr w:type="gramEnd"/>
      <w:r w:rsidR="3FA6600D" w:rsidRPr="00CA3651">
        <w:rPr>
          <w:rFonts w:ascii="DeutscheBank" w:hAnsi="DeutscheBank"/>
          <w:sz w:val="20"/>
          <w:szCs w:val="20"/>
          <w:lang w:val="en-GB"/>
        </w:rPr>
        <w:t xml:space="preserve"> represent a significant source of potential future investment in Europe.</w:t>
      </w:r>
      <w:r w:rsidR="3FA6600D" w:rsidRPr="5F675D6C">
        <w:rPr>
          <w:rFonts w:ascii="DeutscheBank" w:hAnsi="DeutscheBank"/>
          <w:sz w:val="20"/>
          <w:szCs w:val="20"/>
          <w:lang w:val="en-GB"/>
        </w:rPr>
        <w:t xml:space="preserve"> </w:t>
      </w:r>
    </w:p>
    <w:p w14:paraId="758599A4" w14:textId="3FD9E008" w:rsidR="0008751D" w:rsidRPr="00BB676A" w:rsidRDefault="0008751D" w:rsidP="00AA76E2">
      <w:pPr>
        <w:spacing w:after="150" w:line="288" w:lineRule="auto"/>
        <w:rPr>
          <w:rFonts w:ascii="DeutscheBank" w:hAnsi="DeutscheBank"/>
          <w:sz w:val="20"/>
          <w:szCs w:val="20"/>
          <w:lang w:val="en-GB"/>
        </w:rPr>
      </w:pPr>
    </w:p>
    <w:p w14:paraId="21640F15" w14:textId="77777777" w:rsidR="0008751D" w:rsidRPr="00BB676A" w:rsidRDefault="0008751D" w:rsidP="0008751D">
      <w:pPr>
        <w:pStyle w:val="Caption"/>
        <w:rPr>
          <w:rFonts w:ascii="DeutscheBank" w:eastAsia="Arial" w:hAnsi="DeutscheBank" w:cs="Arial"/>
          <w:bCs/>
          <w:iCs w:val="0"/>
          <w:szCs w:val="20"/>
          <w:lang w:val="en-GB" w:eastAsia="de-DE"/>
          <w14:ligatures w14:val="none"/>
        </w:rPr>
      </w:pPr>
      <w:r w:rsidRPr="00BB676A">
        <w:rPr>
          <w:rFonts w:ascii="DeutscheBank" w:eastAsia="Arial" w:hAnsi="DeutscheBank" w:cs="Arial"/>
          <w:bCs/>
          <w:iCs w:val="0"/>
          <w:szCs w:val="20"/>
          <w:lang w:val="en-GB" w:eastAsia="de-DE"/>
          <w14:ligatures w14:val="none"/>
        </w:rPr>
        <w:t>Figure 5: Current and planned investment in Europe</w:t>
      </w:r>
    </w:p>
    <w:p w14:paraId="16A35EB1" w14:textId="35642ED4" w:rsidR="0008751D" w:rsidRPr="000B0F05" w:rsidRDefault="5139D5BB" w:rsidP="3C04F8BB">
      <w:pPr>
        <w:pStyle w:val="Copy"/>
        <w:rPr>
          <w:rFonts w:ascii="DeutscheBank" w:eastAsia="Arial" w:hAnsi="DeutscheBank" w:cs="Arial"/>
          <w:color w:val="222222"/>
          <w:lang w:val="en-GB" w:eastAsia="de-DE"/>
          <w14:ligatures w14:val="none"/>
        </w:rPr>
      </w:pPr>
      <w:r w:rsidRPr="137B1C9D">
        <w:rPr>
          <w:rFonts w:ascii="DeutscheBank" w:eastAsia="Arial" w:hAnsi="DeutscheBank" w:cs="Arial"/>
          <w:color w:val="222222"/>
          <w:lang w:val="en-GB" w:eastAsia="de-DE"/>
          <w14:ligatures w14:val="none"/>
        </w:rPr>
        <w:t>(</w:t>
      </w:r>
      <w:r w:rsidR="696EF326" w:rsidRPr="3C04F8BB">
        <w:rPr>
          <w:rFonts w:ascii="DeutscheBank" w:eastAsia="Arial" w:hAnsi="DeutscheBank" w:cs="Arial"/>
          <w:color w:val="222222"/>
          <w:lang w:val="en-GB" w:eastAsia="de-DE"/>
        </w:rPr>
        <w:t>A</w:t>
      </w:r>
      <w:r w:rsidR="0008751D" w:rsidRPr="3C04F8BB" w:rsidDel="00586B9D">
        <w:rPr>
          <w:rFonts w:ascii="DeutscheBank" w:eastAsia="Arial" w:hAnsi="DeutscheBank" w:cs="Arial"/>
          <w:color w:val="222222"/>
          <w:lang w:val="en-GB" w:eastAsia="de-DE"/>
        </w:rPr>
        <w:t>ll respondents</w:t>
      </w:r>
      <w:r w:rsidR="6EDD2D3A" w:rsidRPr="041E5C19">
        <w:rPr>
          <w:rFonts w:ascii="DeutscheBank" w:eastAsia="Arial" w:hAnsi="DeutscheBank" w:cs="Arial"/>
          <w:color w:val="222222"/>
          <w:lang w:val="en-GB" w:eastAsia="de-DE"/>
        </w:rPr>
        <w:t>)</w:t>
      </w:r>
      <w:r w:rsidR="0008751D" w:rsidRPr="041E5C19">
        <w:rPr>
          <w:rFonts w:ascii="DeutscheBank" w:eastAsia="Arial" w:hAnsi="DeutscheBank" w:cs="Arial"/>
          <w:color w:val="222222"/>
          <w:lang w:val="en-GB" w:eastAsia="de-DE"/>
        </w:rPr>
        <w:t xml:space="preserve"> </w:t>
      </w:r>
    </w:p>
    <w:p w14:paraId="27EADC73" w14:textId="35396900" w:rsidR="00295C0E" w:rsidRPr="00295C0E" w:rsidRDefault="00295C0E" w:rsidP="00295C0E">
      <w:pPr>
        <w:keepNext/>
        <w:spacing w:before="140" w:after="40"/>
        <w:jc w:val="center"/>
        <w:rPr>
          <w:rFonts w:ascii="DeutscheBank" w:hAnsi="DeutscheBank"/>
        </w:rPr>
      </w:pPr>
      <w:r w:rsidRPr="00295C0E">
        <w:rPr>
          <w:rFonts w:ascii="DeutscheBank" w:hAnsi="DeutscheBank"/>
          <w:noProof/>
        </w:rPr>
        <w:drawing>
          <wp:inline distT="0" distB="0" distL="0" distR="0" wp14:anchorId="6A4659AB" wp14:editId="55933D57">
            <wp:extent cx="3994150" cy="2478379"/>
            <wp:effectExtent l="0" t="0" r="6350" b="0"/>
            <wp:docPr id="550645311" name="Grafik 10" descr="Donut chart shows current and planned investment in Europe and expansion timing across five categories. Shares are: 43% are invested, and will expand in the next 3 years; 18% are invested and will expand in the next 3–5 years; 6% are invested but do not plan expansion; 18% are not invested yet but consider to do so the next 3 years; and 15% not invested yet but consider to do so the next 3–5 years, with dark-to-light blue legend 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645311" name="Grafik 10" descr="Donut chart shows current and planned investment in Europe and expansion timing across five categories. Shares are: 43% are invested, and will expand in the next 3 years; 18% are invested and will expand in the next 3–5 years; 6% are invested but do not plan expansion; 18% are not invested yet but consider to do so the next 3 years; and 15% not invested yet but consider to do so the next 3–5 years, with dark-to-light blue legend color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18061" cy="2493216"/>
                    </a:xfrm>
                    <a:prstGeom prst="rect">
                      <a:avLst/>
                    </a:prstGeom>
                    <a:noFill/>
                    <a:ln>
                      <a:noFill/>
                    </a:ln>
                  </pic:spPr>
                </pic:pic>
              </a:graphicData>
            </a:graphic>
          </wp:inline>
        </w:drawing>
      </w:r>
    </w:p>
    <w:p w14:paraId="14745969" w14:textId="7817EDC2" w:rsidR="0008751D" w:rsidRPr="001E5405" w:rsidRDefault="0008751D" w:rsidP="0008751D">
      <w:pPr>
        <w:keepNext/>
        <w:spacing w:before="140" w:after="40"/>
        <w:jc w:val="center"/>
        <w:rPr>
          <w:rFonts w:ascii="DeutscheBank" w:hAnsi="DeutscheBank"/>
        </w:rPr>
      </w:pPr>
    </w:p>
    <w:p w14:paraId="4E96D1F5" w14:textId="422CE983" w:rsidR="001710B7" w:rsidRDefault="0008751D" w:rsidP="0008751D">
      <w:pPr>
        <w:spacing w:after="180"/>
        <w:rPr>
          <w:rFonts w:ascii="DeutscheBank" w:hAnsi="DeutscheBank"/>
          <w:color w:val="000000" w:themeColor="text1"/>
          <w:sz w:val="16"/>
          <w:szCs w:val="16"/>
          <w:lang w:val="en-GB"/>
        </w:rPr>
      </w:pPr>
      <w:r w:rsidRPr="000B0F05">
        <w:rPr>
          <w:rFonts w:ascii="DeutscheBank" w:hAnsi="DeutscheBank"/>
          <w:b/>
          <w:bCs/>
          <w:color w:val="000000" w:themeColor="text1"/>
          <w:sz w:val="16"/>
          <w:szCs w:val="16"/>
          <w:lang w:val="en-GB"/>
        </w:rPr>
        <w:t xml:space="preserve">Source: </w:t>
      </w:r>
      <w:r w:rsidRPr="000B0F05">
        <w:rPr>
          <w:rFonts w:ascii="DeutscheBank" w:hAnsi="DeutscheBank"/>
          <w:color w:val="000000" w:themeColor="text1"/>
          <w:sz w:val="16"/>
          <w:szCs w:val="16"/>
          <w:lang w:val="en-GB"/>
        </w:rPr>
        <w:t>Global Sentiment Survey on Europe 2026, B2B online survey. Base: all respondents, n = 1,200</w:t>
      </w:r>
    </w:p>
    <w:p w14:paraId="1F881225" w14:textId="3B4EBAD3" w:rsidR="0008751D" w:rsidRPr="001710B7" w:rsidRDefault="001710B7" w:rsidP="001710B7">
      <w:pPr>
        <w:spacing w:after="160" w:line="24" w:lineRule="auto"/>
        <w:rPr>
          <w:rFonts w:ascii="DeutscheBank" w:hAnsi="DeutscheBank"/>
          <w:color w:val="000000" w:themeColor="text1"/>
          <w:sz w:val="16"/>
          <w:szCs w:val="16"/>
          <w:lang w:val="en-GB"/>
        </w:rPr>
      </w:pPr>
      <w:r>
        <w:rPr>
          <w:rFonts w:ascii="DeutscheBank" w:hAnsi="DeutscheBank"/>
          <w:color w:val="000000" w:themeColor="text1"/>
          <w:sz w:val="16"/>
          <w:szCs w:val="16"/>
          <w:lang w:val="en-GB"/>
        </w:rPr>
        <w:br w:type="page"/>
      </w:r>
    </w:p>
    <w:p w14:paraId="0B01826B" w14:textId="1AC61138" w:rsidR="0008751D" w:rsidRPr="00BB676A" w:rsidRDefault="0008751D" w:rsidP="0008751D">
      <w:pPr>
        <w:pStyle w:val="Heading2"/>
        <w:jc w:val="both"/>
        <w:rPr>
          <w:rFonts w:ascii="DeutscheBank" w:hAnsi="DeutscheBank"/>
          <w:color w:val="000000" w:themeColor="text1"/>
          <w:sz w:val="20"/>
          <w:szCs w:val="20"/>
          <w:lang w:val="en-GB"/>
        </w:rPr>
      </w:pPr>
      <w:bookmarkStart w:id="22" w:name="_Toc239842191"/>
      <w:bookmarkStart w:id="23" w:name="_Toc239930529"/>
      <w:r w:rsidRPr="00BB676A">
        <w:rPr>
          <w:rFonts w:ascii="DeutscheBank" w:hAnsi="DeutscheBank"/>
          <w:color w:val="000000" w:themeColor="text1"/>
          <w:sz w:val="20"/>
          <w:szCs w:val="20"/>
          <w:lang w:val="en-GB"/>
        </w:rPr>
        <w:lastRenderedPageBreak/>
        <w:t xml:space="preserve">Investment </w:t>
      </w:r>
      <w:r w:rsidR="00675557">
        <w:rPr>
          <w:rFonts w:ascii="DeutscheBank" w:hAnsi="DeutscheBank"/>
          <w:color w:val="000000" w:themeColor="text1"/>
          <w:sz w:val="20"/>
          <w:szCs w:val="20"/>
          <w:lang w:val="en-GB"/>
        </w:rPr>
        <w:t xml:space="preserve">levels </w:t>
      </w:r>
      <w:r w:rsidRPr="00BB676A">
        <w:rPr>
          <w:rFonts w:ascii="DeutscheBank" w:hAnsi="DeutscheBank"/>
          <w:color w:val="000000" w:themeColor="text1"/>
          <w:sz w:val="20"/>
          <w:szCs w:val="20"/>
          <w:lang w:val="en-GB"/>
        </w:rPr>
        <w:t>var</w:t>
      </w:r>
      <w:r w:rsidR="00675557">
        <w:rPr>
          <w:rFonts w:ascii="DeutscheBank" w:hAnsi="DeutscheBank"/>
          <w:color w:val="000000" w:themeColor="text1"/>
          <w:sz w:val="20"/>
          <w:szCs w:val="20"/>
          <w:lang w:val="en-GB"/>
        </w:rPr>
        <w:t>y</w:t>
      </w:r>
      <w:r w:rsidRPr="00BB676A">
        <w:rPr>
          <w:rFonts w:ascii="DeutscheBank" w:hAnsi="DeutscheBank"/>
          <w:color w:val="000000" w:themeColor="text1"/>
          <w:sz w:val="20"/>
          <w:szCs w:val="20"/>
          <w:lang w:val="en-GB"/>
        </w:rPr>
        <w:t xml:space="preserve"> by region</w:t>
      </w:r>
      <w:bookmarkEnd w:id="22"/>
      <w:bookmarkEnd w:id="23"/>
    </w:p>
    <w:p w14:paraId="5694F0A6" w14:textId="2142BAFA" w:rsidR="001243DA" w:rsidRDefault="0008751D" w:rsidP="00AA76E2">
      <w:pPr>
        <w:spacing w:after="150" w:line="288" w:lineRule="auto"/>
        <w:rPr>
          <w:rFonts w:ascii="DeutscheBank" w:hAnsi="DeutscheBank"/>
          <w:sz w:val="20"/>
          <w:szCs w:val="20"/>
          <w:lang w:val="en-GB"/>
        </w:rPr>
      </w:pPr>
      <w:r w:rsidRPr="00BB676A">
        <w:rPr>
          <w:rFonts w:ascii="DeutscheBank" w:hAnsi="DeutscheBank"/>
          <w:sz w:val="20"/>
          <w:szCs w:val="20"/>
          <w:lang w:val="en-GB"/>
        </w:rPr>
        <w:t xml:space="preserve">The starting point </w:t>
      </w:r>
      <w:r w:rsidR="0A692B27" w:rsidRPr="5F675D6C">
        <w:rPr>
          <w:rFonts w:ascii="DeutscheBank" w:hAnsi="DeutscheBank"/>
          <w:sz w:val="20"/>
          <w:szCs w:val="20"/>
          <w:lang w:val="en-GB"/>
        </w:rPr>
        <w:t xml:space="preserve">for investing in Europe </w:t>
      </w:r>
      <w:r w:rsidRPr="00BB676A">
        <w:rPr>
          <w:rFonts w:ascii="DeutscheBank" w:hAnsi="DeutscheBank"/>
          <w:sz w:val="20"/>
          <w:szCs w:val="20"/>
          <w:lang w:val="en-GB"/>
        </w:rPr>
        <w:t>varies across regions. Companies from the Americas have the</w:t>
      </w:r>
      <w:r w:rsidR="00C60650">
        <w:rPr>
          <w:rFonts w:ascii="DeutscheBank" w:hAnsi="DeutscheBank"/>
          <w:sz w:val="20"/>
          <w:szCs w:val="20"/>
          <w:lang w:val="en-GB"/>
        </w:rPr>
        <w:t xml:space="preserve"> largest existing </w:t>
      </w:r>
      <w:r w:rsidR="007363C1">
        <w:rPr>
          <w:rFonts w:ascii="DeutscheBank" w:hAnsi="DeutscheBank"/>
          <w:sz w:val="20"/>
          <w:szCs w:val="20"/>
          <w:lang w:val="en-GB"/>
        </w:rPr>
        <w:t>presence</w:t>
      </w:r>
      <w:r w:rsidRPr="00BB676A" w:rsidDel="007363C1">
        <w:rPr>
          <w:rFonts w:ascii="DeutscheBank" w:hAnsi="DeutscheBank"/>
          <w:sz w:val="20"/>
          <w:szCs w:val="20"/>
          <w:lang w:val="en-GB"/>
        </w:rPr>
        <w:t xml:space="preserve"> </w:t>
      </w:r>
      <w:r w:rsidRPr="00BB676A">
        <w:rPr>
          <w:rFonts w:ascii="DeutscheBank" w:hAnsi="DeutscheBank"/>
          <w:sz w:val="20"/>
          <w:szCs w:val="20"/>
          <w:lang w:val="en-GB"/>
        </w:rPr>
        <w:t>in Europe</w:t>
      </w:r>
      <w:r w:rsidR="00176271">
        <w:rPr>
          <w:rFonts w:ascii="DeutscheBank" w:hAnsi="DeutscheBank"/>
          <w:sz w:val="20"/>
          <w:szCs w:val="20"/>
          <w:lang w:val="en-GB"/>
        </w:rPr>
        <w:t xml:space="preserve">: </w:t>
      </w:r>
      <w:r w:rsidRPr="00BB676A">
        <w:rPr>
          <w:rFonts w:ascii="DeutscheBank" w:hAnsi="DeutscheBank"/>
          <w:sz w:val="20"/>
          <w:szCs w:val="20"/>
          <w:lang w:val="en-GB"/>
        </w:rPr>
        <w:t xml:space="preserve">82 percent </w:t>
      </w:r>
      <w:r w:rsidR="00C32A2A">
        <w:rPr>
          <w:rFonts w:ascii="DeutscheBank" w:hAnsi="DeutscheBank"/>
          <w:sz w:val="20"/>
          <w:szCs w:val="20"/>
          <w:lang w:val="en-GB"/>
        </w:rPr>
        <w:t>are already</w:t>
      </w:r>
      <w:r w:rsidRPr="00BB676A">
        <w:rPr>
          <w:rFonts w:ascii="DeutscheBank" w:hAnsi="DeutscheBank"/>
          <w:sz w:val="20"/>
          <w:szCs w:val="20"/>
          <w:lang w:val="en-GB"/>
        </w:rPr>
        <w:t xml:space="preserve"> invested</w:t>
      </w:r>
      <w:r w:rsidR="00C32A2A">
        <w:rPr>
          <w:rFonts w:ascii="DeutscheBank" w:hAnsi="DeutscheBank"/>
          <w:sz w:val="20"/>
          <w:szCs w:val="20"/>
          <w:lang w:val="en-GB"/>
        </w:rPr>
        <w:t xml:space="preserve">, compared with </w:t>
      </w:r>
      <w:r w:rsidR="00C351EF">
        <w:rPr>
          <w:rFonts w:ascii="DeutscheBank" w:hAnsi="DeutscheBank"/>
          <w:sz w:val="20"/>
          <w:szCs w:val="20"/>
          <w:lang w:val="en-GB"/>
        </w:rPr>
        <w:t>74 percent in t</w:t>
      </w:r>
      <w:r w:rsidRPr="00BB676A">
        <w:rPr>
          <w:rFonts w:ascii="DeutscheBank" w:hAnsi="DeutscheBank"/>
          <w:sz w:val="20"/>
          <w:szCs w:val="20"/>
          <w:lang w:val="en-GB"/>
        </w:rPr>
        <w:t>he Middle East</w:t>
      </w:r>
      <w:r w:rsidR="2C23246F" w:rsidRPr="5F675D6C">
        <w:rPr>
          <w:rFonts w:ascii="DeutscheBank" w:hAnsi="DeutscheBank"/>
          <w:sz w:val="20"/>
          <w:szCs w:val="20"/>
          <w:lang w:val="en-GB"/>
        </w:rPr>
        <w:t>.</w:t>
      </w:r>
    </w:p>
    <w:p w14:paraId="53F4F140" w14:textId="7DA848BC" w:rsidR="0008751D" w:rsidRPr="00BB676A" w:rsidRDefault="3331E584" w:rsidP="00AA76E2">
      <w:pPr>
        <w:spacing w:after="150" w:line="288" w:lineRule="auto"/>
        <w:rPr>
          <w:rFonts w:ascii="DeutscheBank" w:hAnsi="DeutscheBank"/>
          <w:sz w:val="20"/>
          <w:szCs w:val="20"/>
          <w:lang w:val="en-GB"/>
        </w:rPr>
      </w:pPr>
      <w:r w:rsidRPr="5F675D6C">
        <w:rPr>
          <w:rFonts w:ascii="DeutscheBank" w:hAnsi="DeutscheBank"/>
          <w:sz w:val="20"/>
          <w:szCs w:val="20"/>
          <w:lang w:val="en-GB"/>
        </w:rPr>
        <w:t xml:space="preserve">With 55 percent already invested in Europe, </w:t>
      </w:r>
      <w:r w:rsidR="001243DA">
        <w:rPr>
          <w:rFonts w:ascii="DeutscheBank" w:hAnsi="DeutscheBank"/>
          <w:sz w:val="20"/>
          <w:szCs w:val="20"/>
          <w:lang w:val="en-GB"/>
        </w:rPr>
        <w:t>APAC</w:t>
      </w:r>
      <w:r w:rsidR="0008751D" w:rsidRPr="00BB676A">
        <w:rPr>
          <w:rFonts w:ascii="DeutscheBank" w:hAnsi="DeutscheBank"/>
          <w:sz w:val="20"/>
          <w:szCs w:val="20"/>
          <w:lang w:val="en-GB"/>
        </w:rPr>
        <w:t xml:space="preserve"> stands out for its future potential</w:t>
      </w:r>
      <w:r w:rsidR="73D56B85" w:rsidRPr="5F675D6C">
        <w:rPr>
          <w:rFonts w:ascii="DeutscheBank" w:hAnsi="DeutscheBank"/>
          <w:sz w:val="20"/>
          <w:szCs w:val="20"/>
          <w:lang w:val="en-GB"/>
        </w:rPr>
        <w:t xml:space="preserve">: </w:t>
      </w:r>
      <w:r w:rsidR="26102FD0" w:rsidRPr="5F675D6C">
        <w:rPr>
          <w:rFonts w:ascii="DeutscheBank" w:hAnsi="DeutscheBank"/>
          <w:sz w:val="20"/>
          <w:szCs w:val="20"/>
          <w:lang w:val="en-GB"/>
        </w:rPr>
        <w:t>t</w:t>
      </w:r>
      <w:r w:rsidR="367ADF70" w:rsidRPr="5F675D6C">
        <w:rPr>
          <w:rFonts w:ascii="DeutscheBank" w:hAnsi="DeutscheBank"/>
          <w:sz w:val="20"/>
          <w:szCs w:val="20"/>
          <w:lang w:val="en-GB"/>
        </w:rPr>
        <w:t>he region has</w:t>
      </w:r>
      <w:r w:rsidR="0030118A">
        <w:rPr>
          <w:rFonts w:ascii="DeutscheBank" w:hAnsi="DeutscheBank"/>
          <w:sz w:val="20"/>
          <w:szCs w:val="20"/>
          <w:lang w:val="en-GB"/>
        </w:rPr>
        <w:t xml:space="preserve"> </w:t>
      </w:r>
      <w:r w:rsidR="0008751D" w:rsidRPr="00BB676A">
        <w:rPr>
          <w:rFonts w:ascii="DeutscheBank" w:hAnsi="DeutscheBank"/>
          <w:sz w:val="20"/>
          <w:szCs w:val="20"/>
          <w:lang w:val="en-GB"/>
        </w:rPr>
        <w:t xml:space="preserve">the largest share of companies planning to enter </w:t>
      </w:r>
      <w:r w:rsidR="00021A38">
        <w:rPr>
          <w:rFonts w:ascii="DeutscheBank" w:hAnsi="DeutscheBank"/>
          <w:sz w:val="20"/>
          <w:szCs w:val="20"/>
          <w:lang w:val="en-GB"/>
        </w:rPr>
        <w:t>Europe</w:t>
      </w:r>
      <w:r w:rsidR="0008751D" w:rsidRPr="00BB676A">
        <w:rPr>
          <w:rFonts w:ascii="DeutscheBank" w:hAnsi="DeutscheBank"/>
          <w:sz w:val="20"/>
          <w:szCs w:val="20"/>
          <w:lang w:val="en-GB"/>
        </w:rPr>
        <w:t xml:space="preserve">. </w:t>
      </w:r>
    </w:p>
    <w:p w14:paraId="76D80ECC" w14:textId="3E756CF1" w:rsidR="0008751D" w:rsidRDefault="0008751D" w:rsidP="00AA76E2">
      <w:pPr>
        <w:spacing w:after="150" w:line="288" w:lineRule="auto"/>
        <w:rPr>
          <w:rFonts w:ascii="DeutscheBank" w:hAnsi="DeutscheBank"/>
          <w:sz w:val="20"/>
          <w:szCs w:val="20"/>
          <w:lang w:val="en-GB"/>
        </w:rPr>
      </w:pPr>
      <w:r w:rsidRPr="041E5C19">
        <w:rPr>
          <w:rFonts w:ascii="DeutscheBank" w:hAnsi="DeutscheBank"/>
          <w:sz w:val="20"/>
          <w:szCs w:val="20"/>
          <w:lang w:val="en-GB"/>
        </w:rPr>
        <w:t>Regional context matters when interpreting these findings</w:t>
      </w:r>
      <w:r w:rsidR="2EAF6CD0" w:rsidRPr="041E5C19">
        <w:rPr>
          <w:rFonts w:ascii="DeutscheBank" w:hAnsi="DeutscheBank"/>
          <w:sz w:val="20"/>
          <w:szCs w:val="20"/>
          <w:lang w:val="en-GB"/>
        </w:rPr>
        <w:t>, with</w:t>
      </w:r>
      <w:r w:rsidRPr="041E5C19">
        <w:rPr>
          <w:rFonts w:ascii="DeutscheBank" w:hAnsi="DeutscheBank"/>
          <w:sz w:val="20"/>
          <w:szCs w:val="20"/>
          <w:lang w:val="en-GB"/>
        </w:rPr>
        <w:t xml:space="preserve"> different priorities across regions</w:t>
      </w:r>
      <w:r w:rsidR="6CE8D594" w:rsidRPr="041E5C19">
        <w:rPr>
          <w:rFonts w:ascii="DeutscheBank" w:hAnsi="DeutscheBank"/>
          <w:sz w:val="20"/>
          <w:szCs w:val="20"/>
          <w:lang w:val="en-GB"/>
        </w:rPr>
        <w:t>. In the Americas the focus is on</w:t>
      </w:r>
      <w:r w:rsidRPr="041E5C19">
        <w:rPr>
          <w:rFonts w:ascii="DeutscheBank" w:hAnsi="DeutscheBank"/>
          <w:sz w:val="20"/>
          <w:szCs w:val="20"/>
          <w:lang w:val="en-GB"/>
        </w:rPr>
        <w:t xml:space="preserve"> strengthening engagement with the mature investor base</w:t>
      </w:r>
      <w:r w:rsidR="53F09D31" w:rsidRPr="041E5C19">
        <w:rPr>
          <w:rFonts w:ascii="DeutscheBank" w:hAnsi="DeutscheBank"/>
          <w:sz w:val="20"/>
          <w:szCs w:val="20"/>
          <w:lang w:val="en-GB"/>
        </w:rPr>
        <w:t>, while in APAC it is on</w:t>
      </w:r>
      <w:r w:rsidRPr="041E5C19">
        <w:rPr>
          <w:rFonts w:ascii="DeutscheBank" w:hAnsi="DeutscheBank"/>
          <w:sz w:val="20"/>
          <w:szCs w:val="20"/>
          <w:lang w:val="en-GB"/>
        </w:rPr>
        <w:t xml:space="preserve"> helping prospective investors turn their strong interest in Europe into concrete investments.</w:t>
      </w:r>
      <w:r w:rsidR="7A09E527" w:rsidRPr="041E5C19">
        <w:rPr>
          <w:rFonts w:ascii="DeutscheBank" w:hAnsi="DeutscheBank"/>
          <w:sz w:val="20"/>
          <w:szCs w:val="20"/>
          <w:lang w:val="en-GB"/>
        </w:rPr>
        <w:t xml:space="preserve"> Overall, the survey shows that companies already invested in Europe consistently rate the continent more favourably.</w:t>
      </w:r>
    </w:p>
    <w:p w14:paraId="59BC8D30" w14:textId="28855295" w:rsidR="0008751D" w:rsidRPr="00BB676A" w:rsidRDefault="0008751D" w:rsidP="0008751D">
      <w:pPr>
        <w:pStyle w:val="Caption"/>
        <w:rPr>
          <w:rFonts w:ascii="DeutscheBank" w:eastAsia="Arial" w:hAnsi="DeutscheBank" w:cs="Arial"/>
          <w:lang w:val="en-GB" w:eastAsia="de-DE"/>
          <w14:ligatures w14:val="none"/>
        </w:rPr>
      </w:pPr>
      <w:r w:rsidRPr="0186E499">
        <w:rPr>
          <w:rFonts w:ascii="DeutscheBank" w:eastAsia="Arial" w:hAnsi="DeutscheBank" w:cs="Arial"/>
          <w:lang w:val="en-GB" w:eastAsia="de-DE"/>
          <w14:ligatures w14:val="none"/>
        </w:rPr>
        <w:t>Figure 6: Currently invested in Europe</w:t>
      </w:r>
      <w:r w:rsidR="512B4760" w:rsidRPr="0186E499">
        <w:rPr>
          <w:rFonts w:ascii="DeutscheBank" w:eastAsia="Arial" w:hAnsi="DeutscheBank" w:cs="Arial"/>
          <w:lang w:val="en-GB" w:eastAsia="de-DE"/>
        </w:rPr>
        <w:t>, by region</w:t>
      </w:r>
    </w:p>
    <w:p w14:paraId="318145A0" w14:textId="7D618039" w:rsidR="0008751D" w:rsidRPr="000B0F05" w:rsidRDefault="512B4760" w:rsidP="0008751D">
      <w:pPr>
        <w:pStyle w:val="Copy"/>
        <w:rPr>
          <w:rFonts w:ascii="DeutscheBank" w:eastAsia="Arial" w:hAnsi="DeutscheBank" w:cs="Arial"/>
          <w:color w:val="222222"/>
          <w:lang w:val="en-GB" w:eastAsia="de-DE"/>
          <w14:ligatures w14:val="none"/>
        </w:rPr>
      </w:pPr>
      <w:r w:rsidRPr="041E5C19">
        <w:rPr>
          <w:rFonts w:ascii="DeutscheBank" w:eastAsia="Arial" w:hAnsi="DeutscheBank" w:cs="Arial"/>
          <w:color w:val="222222"/>
          <w:lang w:val="en-GB" w:eastAsia="de-DE"/>
        </w:rPr>
        <w:t>(</w:t>
      </w:r>
      <w:r w:rsidR="237A18E4" w:rsidRPr="041E5C19">
        <w:rPr>
          <w:rFonts w:ascii="DeutscheBank" w:eastAsia="Arial" w:hAnsi="DeutscheBank" w:cs="Arial"/>
          <w:color w:val="222222"/>
          <w:lang w:val="en-GB" w:eastAsia="de-DE"/>
        </w:rPr>
        <w:t>A</w:t>
      </w:r>
      <w:r w:rsidR="0008751D" w:rsidRPr="041E5C19">
        <w:rPr>
          <w:rFonts w:ascii="DeutscheBank" w:eastAsia="Arial" w:hAnsi="DeutscheBank" w:cs="Arial"/>
          <w:color w:val="222222"/>
          <w:lang w:val="en-GB" w:eastAsia="de-DE"/>
        </w:rPr>
        <w:t>ll respondents</w:t>
      </w:r>
      <w:r w:rsidR="288E2C38" w:rsidRPr="041E5C19">
        <w:rPr>
          <w:rFonts w:ascii="DeutscheBank" w:eastAsia="Arial" w:hAnsi="DeutscheBank" w:cs="Arial"/>
          <w:color w:val="222222"/>
          <w:lang w:val="en-GB" w:eastAsia="de-DE"/>
        </w:rPr>
        <w:t>)</w:t>
      </w:r>
    </w:p>
    <w:p w14:paraId="4758E723" w14:textId="77777777" w:rsidR="0008751D" w:rsidRPr="001E5405" w:rsidRDefault="0008751D" w:rsidP="0008751D">
      <w:pPr>
        <w:keepNext/>
        <w:spacing w:before="140" w:after="40"/>
        <w:jc w:val="center"/>
        <w:rPr>
          <w:rFonts w:ascii="DeutscheBank" w:hAnsi="DeutscheBank"/>
        </w:rPr>
      </w:pPr>
      <w:r w:rsidRPr="001E5405">
        <w:rPr>
          <w:rFonts w:ascii="DeutscheBank" w:hAnsi="DeutscheBank"/>
          <w:noProof/>
        </w:rPr>
        <w:drawing>
          <wp:inline distT="0" distB="0" distL="0" distR="0" wp14:anchorId="3B7B8EB3" wp14:editId="5BA562E3">
            <wp:extent cx="3808373" cy="2393950"/>
            <wp:effectExtent l="0" t="0" r="1905" b="6350"/>
            <wp:docPr id="599597525" name="fig8" descr="Bar chart compares percentages of corporates currently invested across Overall, APAC, Middle East, and Americas categories. Values rise from 55% APAC to 74% Middle East and 82% Americas, with blue vertical bars and labels above each bar and 67% Overall with a dark blue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597525" name="fig8" descr="Bar chart compares percentages of corporates currently invested across Overall, APAC, Middle East, and Americas categories. Values rise from 55% APAC to 74% Middle East and 82% Americas, with blue vertical bars and labels above each bar and 67% Overall with a dark blue bar."/>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3827782" cy="2406151"/>
                    </a:xfrm>
                    <a:prstGeom prst="rect">
                      <a:avLst/>
                    </a:prstGeom>
                  </pic:spPr>
                </pic:pic>
              </a:graphicData>
            </a:graphic>
          </wp:inline>
        </w:drawing>
      </w:r>
    </w:p>
    <w:p w14:paraId="38A805A7" w14:textId="77777777" w:rsidR="0008751D" w:rsidRPr="005E2C2D" w:rsidRDefault="0008751D" w:rsidP="0008751D">
      <w:pPr>
        <w:spacing w:after="180"/>
        <w:rPr>
          <w:rFonts w:ascii="DeutscheBank" w:hAnsi="DeutscheBank"/>
          <w:color w:val="000000" w:themeColor="text1"/>
          <w:sz w:val="16"/>
          <w:szCs w:val="16"/>
          <w:lang w:val="en-GB"/>
        </w:rPr>
      </w:pPr>
      <w:r w:rsidRPr="000B0F05">
        <w:rPr>
          <w:rFonts w:ascii="DeutscheBank" w:hAnsi="DeutscheBank"/>
          <w:b/>
          <w:bCs/>
          <w:color w:val="000000" w:themeColor="text1"/>
          <w:sz w:val="16"/>
          <w:szCs w:val="16"/>
          <w:lang w:val="en-GB"/>
        </w:rPr>
        <w:t xml:space="preserve">Source: </w:t>
      </w:r>
      <w:r w:rsidRPr="000B0F05">
        <w:rPr>
          <w:rFonts w:ascii="DeutscheBank" w:hAnsi="DeutscheBank"/>
          <w:color w:val="000000" w:themeColor="text1"/>
          <w:sz w:val="16"/>
          <w:szCs w:val="16"/>
          <w:lang w:val="en-GB"/>
        </w:rPr>
        <w:t xml:space="preserve">Global Sentiment Survey on Europe 2026, B2B online survey. </w:t>
      </w:r>
      <w:r w:rsidRPr="001710B7">
        <w:rPr>
          <w:rFonts w:ascii="DeutscheBank" w:hAnsi="DeutscheBank"/>
          <w:color w:val="000000" w:themeColor="text1"/>
          <w:sz w:val="16"/>
          <w:szCs w:val="16"/>
          <w:lang w:val="en-GB"/>
        </w:rPr>
        <w:t>Base:</w:t>
      </w:r>
      <w:r w:rsidRPr="005E2C2D">
        <w:rPr>
          <w:rFonts w:ascii="DeutscheBank" w:hAnsi="DeutscheBank"/>
          <w:color w:val="000000" w:themeColor="text1"/>
          <w:sz w:val="16"/>
          <w:szCs w:val="16"/>
          <w:lang w:val="en-GB"/>
        </w:rPr>
        <w:t xml:space="preserve"> n = 1,200 (APAC 600, Middle East 200, Americas 400)</w:t>
      </w:r>
    </w:p>
    <w:p w14:paraId="20EDACA4" w14:textId="77777777" w:rsidR="0008751D" w:rsidRPr="001E5405" w:rsidRDefault="0008751D" w:rsidP="0008751D">
      <w:pPr>
        <w:spacing w:after="180"/>
        <w:jc w:val="both"/>
        <w:rPr>
          <w:rFonts w:ascii="DeutscheBank" w:hAnsi="DeutscheBank"/>
          <w:lang w:val="en-GB"/>
        </w:rPr>
      </w:pPr>
    </w:p>
    <w:p w14:paraId="5904C24E" w14:textId="29CD31A4" w:rsidR="0008751D" w:rsidRPr="00BB676A" w:rsidRDefault="00675557" w:rsidP="0008751D">
      <w:pPr>
        <w:pStyle w:val="Heading2"/>
        <w:jc w:val="both"/>
        <w:rPr>
          <w:rFonts w:ascii="DeutscheBank" w:hAnsi="DeutscheBank"/>
          <w:color w:val="000000" w:themeColor="text1"/>
          <w:sz w:val="20"/>
          <w:szCs w:val="20"/>
          <w:lang w:val="en-GB"/>
        </w:rPr>
      </w:pPr>
      <w:bookmarkStart w:id="24" w:name="_Toc239842192"/>
      <w:bookmarkStart w:id="25" w:name="_Toc239930530"/>
      <w:r w:rsidRPr="5F675D6C">
        <w:rPr>
          <w:rFonts w:ascii="DeutscheBank" w:hAnsi="DeutscheBank"/>
          <w:color w:val="000000" w:themeColor="text1"/>
          <w:sz w:val="20"/>
          <w:szCs w:val="20"/>
          <w:lang w:val="en-GB"/>
        </w:rPr>
        <w:t>Commer</w:t>
      </w:r>
      <w:r w:rsidR="1EBC3DBD" w:rsidRPr="5F675D6C">
        <w:rPr>
          <w:rFonts w:ascii="DeutscheBank" w:hAnsi="DeutscheBank"/>
          <w:color w:val="000000" w:themeColor="text1"/>
          <w:sz w:val="20"/>
          <w:szCs w:val="20"/>
          <w:lang w:val="en-GB"/>
        </w:rPr>
        <w:t>c</w:t>
      </w:r>
      <w:r w:rsidRPr="5F675D6C">
        <w:rPr>
          <w:rFonts w:ascii="DeutscheBank" w:hAnsi="DeutscheBank"/>
          <w:color w:val="000000" w:themeColor="text1"/>
          <w:sz w:val="20"/>
          <w:szCs w:val="20"/>
          <w:lang w:val="en-GB"/>
        </w:rPr>
        <w:t>ial</w:t>
      </w:r>
      <w:r>
        <w:rPr>
          <w:rFonts w:ascii="DeutscheBank" w:hAnsi="DeutscheBank"/>
          <w:color w:val="000000" w:themeColor="text1"/>
          <w:sz w:val="20"/>
          <w:szCs w:val="20"/>
          <w:lang w:val="en-GB"/>
        </w:rPr>
        <w:t xml:space="preserve"> reach outweighs local </w:t>
      </w:r>
      <w:bookmarkEnd w:id="24"/>
      <w:r>
        <w:rPr>
          <w:rFonts w:ascii="DeutscheBank" w:hAnsi="DeutscheBank"/>
          <w:color w:val="000000" w:themeColor="text1"/>
          <w:sz w:val="20"/>
          <w:szCs w:val="20"/>
          <w:lang w:val="en-GB"/>
        </w:rPr>
        <w:t>production</w:t>
      </w:r>
      <w:bookmarkEnd w:id="25"/>
    </w:p>
    <w:p w14:paraId="269F030E" w14:textId="77777777" w:rsidR="0008751D" w:rsidRPr="00BB676A" w:rsidRDefault="0008751D" w:rsidP="00AA76E2">
      <w:pPr>
        <w:spacing w:after="150" w:line="288" w:lineRule="auto"/>
        <w:rPr>
          <w:rFonts w:ascii="DeutscheBank" w:hAnsi="DeutscheBank"/>
          <w:color w:val="000000" w:themeColor="text1"/>
          <w:sz w:val="20"/>
          <w:szCs w:val="20"/>
          <w:lang w:val="en-GB"/>
        </w:rPr>
      </w:pPr>
      <w:r w:rsidRPr="00BB676A">
        <w:rPr>
          <w:rFonts w:ascii="DeutscheBank" w:hAnsi="DeutscheBank"/>
          <w:color w:val="000000" w:themeColor="text1"/>
          <w:sz w:val="20"/>
          <w:szCs w:val="20"/>
          <w:lang w:val="en-GB"/>
        </w:rPr>
        <w:t>For now, most engagement is commercial rather than industrial. Europe is used first as a sales market: about 73 percent of invested firms sell into the region without any local presence, and 59 percent run their own sales or distribution teams there. Only 19 percent make goods in Europe, which shows that deeper, capital-intensive commitment is still the exception.</w:t>
      </w:r>
    </w:p>
    <w:p w14:paraId="3D44E5F6" w14:textId="092E9B99" w:rsidR="0008751D" w:rsidRDefault="0008751D" w:rsidP="00AA76E2">
      <w:pPr>
        <w:spacing w:after="150" w:line="288" w:lineRule="auto"/>
        <w:rPr>
          <w:rFonts w:ascii="DeutscheBank" w:hAnsi="DeutscheBank"/>
          <w:color w:val="000000" w:themeColor="text1"/>
          <w:sz w:val="20"/>
          <w:szCs w:val="20"/>
          <w:lang w:val="en-GB"/>
        </w:rPr>
      </w:pPr>
      <w:r w:rsidRPr="00BB676A">
        <w:rPr>
          <w:rFonts w:ascii="DeutscheBank" w:hAnsi="DeutscheBank"/>
          <w:color w:val="000000" w:themeColor="text1"/>
          <w:sz w:val="20"/>
          <w:szCs w:val="20"/>
          <w:lang w:val="en-GB"/>
        </w:rPr>
        <w:t xml:space="preserve">The depth of that commitment differs sharply by region. Firms based in the Middle East are mostly exporters, with 87 percent selling in </w:t>
      </w:r>
      <w:r w:rsidR="0C143C2F" w:rsidRPr="5F675D6C">
        <w:rPr>
          <w:rFonts w:ascii="DeutscheBank" w:hAnsi="DeutscheBank"/>
          <w:color w:val="000000" w:themeColor="text1"/>
          <w:sz w:val="20"/>
          <w:szCs w:val="20"/>
          <w:lang w:val="en-GB"/>
        </w:rPr>
        <w:t xml:space="preserve">Europe </w:t>
      </w:r>
      <w:r w:rsidRPr="00BB676A">
        <w:rPr>
          <w:rFonts w:ascii="DeutscheBank" w:hAnsi="DeutscheBank"/>
          <w:color w:val="000000" w:themeColor="text1"/>
          <w:sz w:val="20"/>
          <w:szCs w:val="20"/>
          <w:lang w:val="en-GB"/>
        </w:rPr>
        <w:t xml:space="preserve">and just 3 percent producing locally. APAC investors lead on building their own European sales and distribution teams (78 percent), while investors from the Americas are the most likely to produce on the ground (28 percent). </w:t>
      </w:r>
    </w:p>
    <w:p w14:paraId="1736D8D9" w14:textId="77777777" w:rsidR="0008751D" w:rsidRDefault="0008751D" w:rsidP="0008751D">
      <w:pPr>
        <w:rPr>
          <w:rFonts w:asciiTheme="minorHAnsi" w:eastAsiaTheme="minorHAnsi" w:hAnsiTheme="minorHAnsi" w:cstheme="minorBidi"/>
          <w:b/>
          <w:iCs/>
          <w:color w:val="000000" w:themeColor="text1"/>
          <w:sz w:val="20"/>
          <w:szCs w:val="18"/>
          <w:lang w:val="en-US" w:eastAsia="en-US"/>
          <w14:ligatures w14:val="standardContextual"/>
        </w:rPr>
      </w:pPr>
      <w:r w:rsidRPr="005E2C2D">
        <w:rPr>
          <w:lang w:val="en-GB"/>
        </w:rPr>
        <w:br w:type="page"/>
      </w:r>
    </w:p>
    <w:p w14:paraId="2E29C570" w14:textId="77777777" w:rsidR="0008751D" w:rsidRPr="00BB676A" w:rsidRDefault="0008751D" w:rsidP="0008751D">
      <w:pPr>
        <w:pStyle w:val="Caption"/>
        <w:rPr>
          <w:rFonts w:ascii="DeutscheBank" w:eastAsia="Arial" w:hAnsi="DeutscheBank" w:cs="Arial"/>
          <w:bCs/>
          <w:iCs w:val="0"/>
          <w:szCs w:val="20"/>
          <w:lang w:val="en-GB" w:eastAsia="de-DE"/>
          <w14:ligatures w14:val="none"/>
        </w:rPr>
      </w:pPr>
      <w:r w:rsidRPr="00BB676A">
        <w:rPr>
          <w:rFonts w:ascii="DeutscheBank" w:eastAsia="Arial" w:hAnsi="DeutscheBank" w:cs="Arial"/>
          <w:bCs/>
          <w:iCs w:val="0"/>
          <w:szCs w:val="20"/>
          <w:lang w:val="en-GB" w:eastAsia="de-DE"/>
          <w14:ligatures w14:val="none"/>
        </w:rPr>
        <w:lastRenderedPageBreak/>
        <w:t>Figure 7: Type of investment in Europe</w:t>
      </w:r>
    </w:p>
    <w:p w14:paraId="138833E7" w14:textId="0613781D" w:rsidR="0008751D" w:rsidRPr="000B0F05" w:rsidRDefault="0008751D" w:rsidP="371D15A3">
      <w:pPr>
        <w:pStyle w:val="Copy"/>
        <w:rPr>
          <w:rFonts w:ascii="DeutscheBank" w:eastAsia="Arial" w:hAnsi="DeutscheBank" w:cs="Arial"/>
          <w:color w:val="222222"/>
          <w:lang w:val="en-GB" w:eastAsia="de-DE"/>
          <w14:ligatures w14:val="none"/>
        </w:rPr>
      </w:pPr>
      <w:r w:rsidRPr="371D15A3">
        <w:rPr>
          <w:rFonts w:ascii="DeutscheBank" w:eastAsia="Arial" w:hAnsi="DeutscheBank" w:cs="Arial"/>
          <w:color w:val="222222"/>
          <w:lang w:val="en-GB" w:eastAsia="de-DE"/>
          <w14:ligatures w14:val="none"/>
        </w:rPr>
        <w:t>Multiple answers possible (</w:t>
      </w:r>
      <w:r w:rsidR="7FE23334" w:rsidRPr="371D15A3">
        <w:rPr>
          <w:rFonts w:ascii="DeutscheBank" w:eastAsia="Arial" w:hAnsi="DeutscheBank" w:cs="Arial"/>
          <w:color w:val="222222"/>
          <w:lang w:val="en-GB" w:eastAsia="de-DE"/>
        </w:rPr>
        <w:t>already in Europe invested)</w:t>
      </w:r>
    </w:p>
    <w:p w14:paraId="1C3373EA" w14:textId="54050B53" w:rsidR="009B3B0A" w:rsidRPr="009B3B0A" w:rsidRDefault="6FE27C39" w:rsidP="009B3B0A">
      <w:pPr>
        <w:spacing w:after="150" w:line="288" w:lineRule="auto"/>
        <w:jc w:val="center"/>
        <w:rPr>
          <w:rFonts w:ascii="DeutscheBank" w:hAnsi="DeutscheBank"/>
          <w:color w:val="000000" w:themeColor="text1"/>
          <w:sz w:val="20"/>
          <w:szCs w:val="20"/>
        </w:rPr>
      </w:pPr>
      <w:r>
        <w:rPr>
          <w:noProof/>
        </w:rPr>
        <w:drawing>
          <wp:inline distT="0" distB="0" distL="0" distR="0" wp14:anchorId="7B9F41BC" wp14:editId="38496E7D">
            <wp:extent cx="4396154" cy="2610459"/>
            <wp:effectExtent l="0" t="0" r="4445" b="0"/>
            <wp:docPr id="1603751939" name="Grafik 13" descr="Bar chart compares business activities conducted in Europe. Dark-blue bars show 73% selling goods or services to European customers, 59% having own sales or distribution teams, and 19% producing or manufacturing goo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751939" name="Grafik 13" descr="Bar chart compares business activities conducted in Europe. Dark-blue bars show 73% selling goods or services to European customers, 59% having own sales or distribution teams, and 19% producing or manufacturing good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34767" cy="2633387"/>
                    </a:xfrm>
                    <a:prstGeom prst="rect">
                      <a:avLst/>
                    </a:prstGeom>
                    <a:noFill/>
                    <a:ln>
                      <a:noFill/>
                    </a:ln>
                  </pic:spPr>
                </pic:pic>
              </a:graphicData>
            </a:graphic>
          </wp:inline>
        </w:drawing>
      </w:r>
    </w:p>
    <w:p w14:paraId="75E8BE52" w14:textId="522E1237" w:rsidR="0008751D" w:rsidRDefault="0008751D" w:rsidP="0008751D">
      <w:pPr>
        <w:spacing w:after="180"/>
        <w:jc w:val="both"/>
        <w:rPr>
          <w:rFonts w:ascii="DeutscheBank" w:hAnsi="DeutscheBank"/>
          <w:color w:val="000000" w:themeColor="text1"/>
          <w:sz w:val="16"/>
          <w:szCs w:val="16"/>
          <w:lang w:val="en-GB"/>
        </w:rPr>
      </w:pPr>
      <w:r w:rsidRPr="000B0F05">
        <w:rPr>
          <w:rFonts w:ascii="DeutscheBank" w:hAnsi="DeutscheBank"/>
          <w:b/>
          <w:bCs/>
          <w:color w:val="000000" w:themeColor="text1"/>
          <w:sz w:val="16"/>
          <w:szCs w:val="16"/>
          <w:lang w:val="en-GB"/>
        </w:rPr>
        <w:t xml:space="preserve">Source: </w:t>
      </w:r>
      <w:r w:rsidRPr="000B0F05">
        <w:rPr>
          <w:rFonts w:ascii="DeutscheBank" w:hAnsi="DeutscheBank"/>
          <w:color w:val="000000" w:themeColor="text1"/>
          <w:sz w:val="16"/>
          <w:szCs w:val="16"/>
          <w:lang w:val="en-GB"/>
        </w:rPr>
        <w:t xml:space="preserve">Global Sentiment Survey on Europe 2026, B2B online survey. Base: all respondents, n = </w:t>
      </w:r>
      <w:r w:rsidR="00774B5F">
        <w:rPr>
          <w:rFonts w:ascii="DeutscheBank" w:hAnsi="DeutscheBank"/>
          <w:color w:val="000000" w:themeColor="text1"/>
          <w:sz w:val="16"/>
          <w:szCs w:val="16"/>
          <w:lang w:val="en-GB"/>
        </w:rPr>
        <w:t>807 already invested</w:t>
      </w:r>
    </w:p>
    <w:p w14:paraId="23D47F8B" w14:textId="77777777" w:rsidR="007A6C7F" w:rsidRPr="001E5405" w:rsidRDefault="007A6C7F" w:rsidP="0008751D">
      <w:pPr>
        <w:spacing w:after="180"/>
        <w:jc w:val="both"/>
        <w:rPr>
          <w:rFonts w:ascii="DeutscheBank" w:hAnsi="DeutscheBank"/>
          <w:lang w:val="en-GB"/>
        </w:rPr>
      </w:pPr>
    </w:p>
    <w:p w14:paraId="7CDA4666" w14:textId="17005705" w:rsidR="0008751D" w:rsidRPr="00BB676A" w:rsidRDefault="0008751D" w:rsidP="00AA76E2">
      <w:pPr>
        <w:pStyle w:val="Heading2"/>
        <w:rPr>
          <w:rFonts w:ascii="DeutscheBank" w:hAnsi="DeutscheBank"/>
          <w:color w:val="000000" w:themeColor="text1"/>
          <w:sz w:val="20"/>
          <w:szCs w:val="20"/>
          <w:lang w:val="en-GB"/>
        </w:rPr>
      </w:pPr>
      <w:bookmarkStart w:id="26" w:name="_Toc239842193"/>
      <w:bookmarkStart w:id="27" w:name="_Toc239930531"/>
      <w:r w:rsidRPr="00BB676A">
        <w:rPr>
          <w:rFonts w:ascii="DeutscheBank" w:hAnsi="DeutscheBank"/>
          <w:color w:val="000000" w:themeColor="text1"/>
          <w:sz w:val="20"/>
          <w:szCs w:val="20"/>
          <w:lang w:val="en-GB"/>
        </w:rPr>
        <w:t xml:space="preserve">A </w:t>
      </w:r>
      <w:r w:rsidR="00675557">
        <w:rPr>
          <w:rFonts w:ascii="DeutscheBank" w:hAnsi="DeutscheBank"/>
          <w:color w:val="000000" w:themeColor="text1"/>
          <w:sz w:val="20"/>
          <w:szCs w:val="20"/>
          <w:lang w:val="en-GB"/>
        </w:rPr>
        <w:t>potential shift in global</w:t>
      </w:r>
      <w:r w:rsidRPr="00BB676A">
        <w:rPr>
          <w:rFonts w:ascii="DeutscheBank" w:hAnsi="DeutscheBank"/>
          <w:color w:val="000000" w:themeColor="text1"/>
          <w:sz w:val="20"/>
          <w:szCs w:val="20"/>
          <w:lang w:val="en-GB"/>
        </w:rPr>
        <w:t xml:space="preserve"> </w:t>
      </w:r>
      <w:r w:rsidR="190B3E26" w:rsidRPr="5F675D6C">
        <w:rPr>
          <w:rFonts w:ascii="DeutscheBank" w:hAnsi="DeutscheBank"/>
          <w:color w:val="000000" w:themeColor="text1"/>
          <w:sz w:val="20"/>
          <w:szCs w:val="20"/>
          <w:lang w:val="en-GB"/>
        </w:rPr>
        <w:t xml:space="preserve">investment </w:t>
      </w:r>
      <w:r w:rsidRPr="00BB676A">
        <w:rPr>
          <w:rFonts w:ascii="DeutscheBank" w:hAnsi="DeutscheBank"/>
          <w:color w:val="000000" w:themeColor="text1"/>
          <w:sz w:val="20"/>
          <w:szCs w:val="20"/>
          <w:lang w:val="en-GB"/>
        </w:rPr>
        <w:t>portfolio</w:t>
      </w:r>
      <w:r w:rsidR="00675557">
        <w:rPr>
          <w:rFonts w:ascii="DeutscheBank" w:hAnsi="DeutscheBank"/>
          <w:color w:val="000000" w:themeColor="text1"/>
          <w:sz w:val="20"/>
          <w:szCs w:val="20"/>
          <w:lang w:val="en-GB"/>
        </w:rPr>
        <w:t>s</w:t>
      </w:r>
      <w:bookmarkEnd w:id="26"/>
      <w:bookmarkEnd w:id="27"/>
    </w:p>
    <w:p w14:paraId="5CCBA593" w14:textId="50DBD4FF" w:rsidR="0008751D" w:rsidRPr="00BB676A" w:rsidRDefault="00AC3336" w:rsidP="00AA76E2">
      <w:pPr>
        <w:spacing w:after="150" w:line="288" w:lineRule="auto"/>
        <w:rPr>
          <w:rFonts w:ascii="DeutscheBank" w:hAnsi="DeutscheBank"/>
          <w:sz w:val="20"/>
          <w:szCs w:val="20"/>
          <w:lang w:val="en-GB"/>
        </w:rPr>
      </w:pPr>
      <w:r w:rsidRPr="041E5C19">
        <w:rPr>
          <w:rFonts w:ascii="DeutscheBank" w:hAnsi="DeutscheBank"/>
          <w:sz w:val="20"/>
          <w:szCs w:val="20"/>
          <w:lang w:val="en-GB"/>
        </w:rPr>
        <w:t xml:space="preserve">One indication </w:t>
      </w:r>
      <w:r w:rsidR="0008751D" w:rsidRPr="041E5C19">
        <w:rPr>
          <w:rFonts w:ascii="DeutscheBank" w:hAnsi="DeutscheBank"/>
          <w:sz w:val="20"/>
          <w:szCs w:val="20"/>
          <w:lang w:val="en-GB"/>
        </w:rPr>
        <w:t>that th</w:t>
      </w:r>
      <w:r w:rsidR="5764076F" w:rsidRPr="041E5C19">
        <w:rPr>
          <w:rFonts w:ascii="DeutscheBank" w:hAnsi="DeutscheBank"/>
          <w:sz w:val="20"/>
          <w:szCs w:val="20"/>
          <w:lang w:val="en-GB"/>
        </w:rPr>
        <w:t>e</w:t>
      </w:r>
      <w:r w:rsidR="0008751D" w:rsidRPr="041E5C19">
        <w:rPr>
          <w:rFonts w:ascii="DeutscheBank" w:hAnsi="DeutscheBank"/>
          <w:sz w:val="20"/>
          <w:szCs w:val="20"/>
          <w:lang w:val="en-GB"/>
        </w:rPr>
        <w:t xml:space="preserve"> confidence </w:t>
      </w:r>
      <w:r w:rsidR="2D959AAB" w:rsidRPr="041E5C19">
        <w:rPr>
          <w:rFonts w:ascii="DeutscheBank" w:hAnsi="DeutscheBank"/>
          <w:sz w:val="20"/>
          <w:szCs w:val="20"/>
          <w:lang w:val="en-GB"/>
        </w:rPr>
        <w:t>revealed in this survey</w:t>
      </w:r>
      <w:r w:rsidR="0008751D" w:rsidRPr="041E5C19">
        <w:rPr>
          <w:rFonts w:ascii="DeutscheBank" w:hAnsi="DeutscheBank"/>
          <w:sz w:val="20"/>
          <w:szCs w:val="20"/>
          <w:lang w:val="en-GB"/>
        </w:rPr>
        <w:t xml:space="preserve"> </w:t>
      </w:r>
      <w:r w:rsidRPr="041E5C19">
        <w:rPr>
          <w:rFonts w:ascii="DeutscheBank" w:hAnsi="DeutscheBank"/>
          <w:sz w:val="20"/>
          <w:szCs w:val="20"/>
          <w:lang w:val="en-GB"/>
        </w:rPr>
        <w:t xml:space="preserve">could </w:t>
      </w:r>
      <w:r w:rsidR="0008751D" w:rsidRPr="041E5C19">
        <w:rPr>
          <w:rFonts w:ascii="DeutscheBank" w:hAnsi="DeutscheBank"/>
          <w:sz w:val="20"/>
          <w:szCs w:val="20"/>
          <w:lang w:val="en-GB"/>
        </w:rPr>
        <w:t>translat</w:t>
      </w:r>
      <w:r w:rsidRPr="041E5C19">
        <w:rPr>
          <w:rFonts w:ascii="DeutscheBank" w:hAnsi="DeutscheBank"/>
          <w:sz w:val="20"/>
          <w:szCs w:val="20"/>
          <w:lang w:val="en-GB"/>
        </w:rPr>
        <w:t>e</w:t>
      </w:r>
      <w:r w:rsidR="0008751D" w:rsidRPr="041E5C19">
        <w:rPr>
          <w:rFonts w:ascii="DeutscheBank" w:hAnsi="DeutscheBank"/>
          <w:sz w:val="20"/>
          <w:szCs w:val="20"/>
          <w:lang w:val="en-GB"/>
        </w:rPr>
        <w:t xml:space="preserve"> into </w:t>
      </w:r>
      <w:r w:rsidR="1F869F50" w:rsidRPr="041E5C19">
        <w:rPr>
          <w:rFonts w:ascii="DeutscheBank" w:hAnsi="DeutscheBank"/>
          <w:sz w:val="20"/>
          <w:szCs w:val="20"/>
          <w:lang w:val="en-GB"/>
        </w:rPr>
        <w:t xml:space="preserve">concrete </w:t>
      </w:r>
      <w:r w:rsidR="00E52F37" w:rsidRPr="041E5C19">
        <w:rPr>
          <w:rFonts w:ascii="DeutscheBank" w:hAnsi="DeutscheBank"/>
          <w:sz w:val="20"/>
          <w:szCs w:val="20"/>
          <w:lang w:val="en-GB"/>
        </w:rPr>
        <w:t xml:space="preserve">investment </w:t>
      </w:r>
      <w:r w:rsidR="1FBD090B" w:rsidRPr="041E5C19">
        <w:rPr>
          <w:rFonts w:ascii="DeutscheBank" w:hAnsi="DeutscheBank"/>
          <w:sz w:val="20"/>
          <w:szCs w:val="20"/>
          <w:lang w:val="en-GB"/>
        </w:rPr>
        <w:t xml:space="preserve">into Europe </w:t>
      </w:r>
      <w:r w:rsidR="0008751D" w:rsidRPr="041E5C19">
        <w:rPr>
          <w:rFonts w:ascii="DeutscheBank" w:hAnsi="DeutscheBank"/>
          <w:sz w:val="20"/>
          <w:szCs w:val="20"/>
          <w:lang w:val="en-GB"/>
        </w:rPr>
        <w:t xml:space="preserve">comes from where the additional </w:t>
      </w:r>
      <w:r w:rsidR="00881EB7" w:rsidRPr="041E5C19">
        <w:rPr>
          <w:rFonts w:ascii="DeutscheBank" w:hAnsi="DeutscheBank"/>
          <w:sz w:val="20"/>
          <w:szCs w:val="20"/>
          <w:lang w:val="en-GB"/>
        </w:rPr>
        <w:t>capital</w:t>
      </w:r>
      <w:r w:rsidR="0008751D" w:rsidRPr="041E5C19">
        <w:rPr>
          <w:rFonts w:ascii="DeutscheBank" w:hAnsi="DeutscheBank"/>
          <w:sz w:val="20"/>
          <w:szCs w:val="20"/>
          <w:lang w:val="en-GB"/>
        </w:rPr>
        <w:t xml:space="preserve"> would be sourced. For many </w:t>
      </w:r>
      <w:r w:rsidR="3A415DF8" w:rsidRPr="041E5C19">
        <w:rPr>
          <w:rFonts w:ascii="DeutscheBank" w:hAnsi="DeutscheBank"/>
          <w:sz w:val="20"/>
          <w:szCs w:val="20"/>
          <w:lang w:val="en-GB"/>
        </w:rPr>
        <w:t>respondents</w:t>
      </w:r>
      <w:r w:rsidR="0008751D" w:rsidRPr="041E5C19">
        <w:rPr>
          <w:rFonts w:ascii="DeutscheBank" w:hAnsi="DeutscheBank"/>
          <w:sz w:val="20"/>
          <w:szCs w:val="20"/>
          <w:lang w:val="en-GB"/>
        </w:rPr>
        <w:t xml:space="preserve">, greater commitment to Europe would not be an add-on; it would mean rebalancing their global </w:t>
      </w:r>
      <w:r w:rsidR="62F01688" w:rsidRPr="041E5C19">
        <w:rPr>
          <w:rFonts w:ascii="DeutscheBank" w:hAnsi="DeutscheBank"/>
          <w:sz w:val="20"/>
          <w:szCs w:val="20"/>
          <w:lang w:val="en-GB"/>
        </w:rPr>
        <w:t xml:space="preserve">investment </w:t>
      </w:r>
      <w:r w:rsidR="0008751D" w:rsidRPr="041E5C19">
        <w:rPr>
          <w:rFonts w:ascii="DeutscheBank" w:hAnsi="DeutscheBank"/>
          <w:sz w:val="20"/>
          <w:szCs w:val="20"/>
          <w:lang w:val="en-GB"/>
        </w:rPr>
        <w:t>portfolios. North America is the most frequently named source of reallocated capital (41 percent), followed by APAC excluding China (36 percent) and the Middle East (28 percent). Only 20 percent say they would not shift investment from another region.</w:t>
      </w:r>
    </w:p>
    <w:p w14:paraId="0B9BCF3F" w14:textId="3EBCA727" w:rsidR="0008751D" w:rsidRDefault="0008751D" w:rsidP="00AA76E2">
      <w:pPr>
        <w:spacing w:after="150" w:line="288" w:lineRule="auto"/>
        <w:rPr>
          <w:rFonts w:ascii="DeutscheBank" w:hAnsi="DeutscheBank"/>
          <w:sz w:val="20"/>
          <w:szCs w:val="20"/>
          <w:lang w:val="en-GB"/>
        </w:rPr>
      </w:pPr>
      <w:r w:rsidRPr="041E5C19">
        <w:rPr>
          <w:rFonts w:ascii="DeutscheBank" w:hAnsi="DeutscheBank"/>
          <w:sz w:val="20"/>
          <w:szCs w:val="20"/>
          <w:lang w:val="en-GB"/>
        </w:rPr>
        <w:t>Th</w:t>
      </w:r>
      <w:r w:rsidR="1DBBBADD" w:rsidRPr="041E5C19">
        <w:rPr>
          <w:rFonts w:ascii="DeutscheBank" w:hAnsi="DeutscheBank"/>
          <w:sz w:val="20"/>
          <w:szCs w:val="20"/>
          <w:lang w:val="en-GB"/>
        </w:rPr>
        <w:t>is</w:t>
      </w:r>
      <w:r w:rsidRPr="041E5C19">
        <w:rPr>
          <w:rFonts w:ascii="DeutscheBank" w:hAnsi="DeutscheBank"/>
          <w:sz w:val="20"/>
          <w:szCs w:val="20"/>
          <w:lang w:val="en-GB"/>
        </w:rPr>
        <w:t xml:space="preserve"> is </w:t>
      </w:r>
      <w:r w:rsidR="76C4B00D" w:rsidRPr="041E5C19">
        <w:rPr>
          <w:rFonts w:ascii="DeutscheBank" w:hAnsi="DeutscheBank"/>
          <w:sz w:val="20"/>
          <w:szCs w:val="20"/>
          <w:lang w:val="en-GB"/>
        </w:rPr>
        <w:t>a</w:t>
      </w:r>
      <w:r w:rsidRPr="041E5C19">
        <w:rPr>
          <w:rFonts w:ascii="DeutscheBank" w:hAnsi="DeutscheBank"/>
          <w:sz w:val="20"/>
          <w:szCs w:val="20"/>
          <w:lang w:val="en-GB"/>
        </w:rPr>
        <w:t xml:space="preserve"> clear sign that </w:t>
      </w:r>
      <w:r w:rsidR="1C33F027" w:rsidRPr="041E5C19">
        <w:rPr>
          <w:rFonts w:ascii="DeutscheBank" w:hAnsi="DeutscheBank"/>
          <w:sz w:val="20"/>
          <w:szCs w:val="20"/>
          <w:lang w:val="en-GB"/>
        </w:rPr>
        <w:t>Europe’s appeal is growing</w:t>
      </w:r>
      <w:r w:rsidR="1D596D35" w:rsidRPr="041E5C19">
        <w:rPr>
          <w:rFonts w:ascii="DeutscheBank" w:hAnsi="DeutscheBank"/>
          <w:sz w:val="20"/>
          <w:szCs w:val="20"/>
          <w:lang w:val="en-GB"/>
        </w:rPr>
        <w:t xml:space="preserve"> relative to other regions</w:t>
      </w:r>
      <w:r w:rsidRPr="041E5C19">
        <w:rPr>
          <w:rFonts w:ascii="DeutscheBank" w:hAnsi="DeutscheBank"/>
          <w:sz w:val="20"/>
          <w:szCs w:val="20"/>
          <w:lang w:val="en-GB"/>
        </w:rPr>
        <w:t>.</w:t>
      </w:r>
    </w:p>
    <w:p w14:paraId="736A6B5E" w14:textId="77777777" w:rsidR="0008751D" w:rsidRPr="00BB676A" w:rsidRDefault="0008751D" w:rsidP="0008751D">
      <w:pPr>
        <w:pStyle w:val="Caption"/>
        <w:rPr>
          <w:rFonts w:ascii="DeutscheBank" w:eastAsia="Arial" w:hAnsi="DeutscheBank" w:cs="Arial"/>
          <w:bCs/>
          <w:iCs w:val="0"/>
          <w:szCs w:val="20"/>
          <w:lang w:val="en-GB" w:eastAsia="de-DE"/>
          <w14:ligatures w14:val="none"/>
        </w:rPr>
      </w:pPr>
      <w:r w:rsidRPr="00BB676A">
        <w:rPr>
          <w:rFonts w:ascii="DeutscheBank" w:eastAsia="Arial" w:hAnsi="DeutscheBank" w:cs="Arial"/>
          <w:bCs/>
          <w:iCs w:val="0"/>
          <w:szCs w:val="20"/>
          <w:lang w:val="en-GB" w:eastAsia="de-DE"/>
          <w14:ligatures w14:val="none"/>
        </w:rPr>
        <w:t>Figure 8: Regions from which investors would shift capital towards Europe</w:t>
      </w:r>
    </w:p>
    <w:p w14:paraId="54A5D9ED" w14:textId="77777777" w:rsidR="0008751D" w:rsidRPr="000B0F05" w:rsidRDefault="0008751D" w:rsidP="0008751D">
      <w:pPr>
        <w:pStyle w:val="Copy"/>
        <w:rPr>
          <w:rFonts w:ascii="DeutscheBank" w:eastAsia="Arial" w:hAnsi="DeutscheBank" w:cs="Arial"/>
          <w:color w:val="222222"/>
          <w:szCs w:val="20"/>
          <w:lang w:val="en-GB" w:eastAsia="de-DE"/>
          <w14:ligatures w14:val="none"/>
        </w:rPr>
      </w:pPr>
      <w:r>
        <w:rPr>
          <w:rFonts w:ascii="DeutscheBank" w:eastAsia="Arial" w:hAnsi="DeutscheBank" w:cs="Arial"/>
          <w:color w:val="222222"/>
          <w:szCs w:val="20"/>
          <w:lang w:val="en-GB" w:eastAsia="de-DE"/>
          <w14:ligatures w14:val="none"/>
        </w:rPr>
        <w:t>Multiple answers possible (all respondents)</w:t>
      </w:r>
    </w:p>
    <w:p w14:paraId="6ED61D82" w14:textId="2F414439" w:rsidR="00CD030C" w:rsidRPr="00CD030C" w:rsidRDefault="00CD030C" w:rsidP="00CD030C">
      <w:pPr>
        <w:keepNext/>
        <w:spacing w:before="140" w:after="40"/>
        <w:jc w:val="center"/>
        <w:rPr>
          <w:rFonts w:ascii="DeutscheBank" w:hAnsi="DeutscheBank"/>
        </w:rPr>
      </w:pPr>
      <w:r w:rsidRPr="00CD030C">
        <w:rPr>
          <w:rFonts w:ascii="DeutscheBank" w:hAnsi="DeutscheBank"/>
          <w:noProof/>
        </w:rPr>
        <w:drawing>
          <wp:inline distT="0" distB="0" distL="0" distR="0" wp14:anchorId="7D7AE5FD" wp14:editId="0EA03EAF">
            <wp:extent cx="4504309" cy="2236763"/>
            <wp:effectExtent l="0" t="0" r="0" b="0"/>
            <wp:docPr id="1790861034" name="Grafik 15" descr="Bar chart compares percentages across regions investors would shift capital towards Europe: North America 41%, APAC excluding China 36%, Middle East 28%, China 21%, LATAM 15%, and None 20%. Navy bars represent regions, while gray None bar marks unclassified responses; North America leads, and LATAM records lowest sh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861034" name="Grafik 15" descr="Bar chart compares percentages across regions investors would shift capital towards Europe: North America 41%, APAC excluding China 36%, Middle East 28%, China 21%, LATAM 15%, and None 20%. Navy bars represent regions, while gray None bar marks unclassified responses; North America leads, and LATAM records lowest shar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40711" cy="2254839"/>
                    </a:xfrm>
                    <a:prstGeom prst="rect">
                      <a:avLst/>
                    </a:prstGeom>
                    <a:noFill/>
                    <a:ln>
                      <a:noFill/>
                    </a:ln>
                  </pic:spPr>
                </pic:pic>
              </a:graphicData>
            </a:graphic>
          </wp:inline>
        </w:drawing>
      </w:r>
    </w:p>
    <w:p w14:paraId="79A63EC6" w14:textId="2736F525" w:rsidR="0008751D" w:rsidRPr="001E5405" w:rsidRDefault="0008751D" w:rsidP="0008751D">
      <w:pPr>
        <w:keepNext/>
        <w:spacing w:before="140" w:after="40"/>
        <w:jc w:val="center"/>
        <w:rPr>
          <w:rFonts w:ascii="DeutscheBank" w:hAnsi="DeutscheBank"/>
        </w:rPr>
      </w:pPr>
    </w:p>
    <w:p w14:paraId="79C31E6C" w14:textId="77777777" w:rsidR="0008751D" w:rsidRPr="001E5405" w:rsidRDefault="0008751D" w:rsidP="0008751D">
      <w:pPr>
        <w:spacing w:after="180"/>
        <w:jc w:val="both"/>
        <w:rPr>
          <w:rFonts w:ascii="DeutscheBank" w:hAnsi="DeutscheBank"/>
          <w:lang w:val="en-GB"/>
        </w:rPr>
      </w:pPr>
      <w:r w:rsidRPr="000B0F05">
        <w:rPr>
          <w:rFonts w:ascii="DeutscheBank" w:hAnsi="DeutscheBank"/>
          <w:b/>
          <w:bCs/>
          <w:color w:val="000000" w:themeColor="text1"/>
          <w:sz w:val="16"/>
          <w:szCs w:val="16"/>
          <w:lang w:val="en-GB"/>
        </w:rPr>
        <w:t xml:space="preserve">Source: </w:t>
      </w:r>
      <w:r w:rsidRPr="000B0F05">
        <w:rPr>
          <w:rFonts w:ascii="DeutscheBank" w:hAnsi="DeutscheBank"/>
          <w:color w:val="000000" w:themeColor="text1"/>
          <w:sz w:val="16"/>
          <w:szCs w:val="16"/>
          <w:lang w:val="en-GB"/>
        </w:rPr>
        <w:t>Global Sentiment Survey on Europe 2026, B2B online survey. Base: all respondents, n = 1,200</w:t>
      </w:r>
    </w:p>
    <w:p w14:paraId="4D731609" w14:textId="565C5955" w:rsidR="0008751D" w:rsidRPr="00BB676A" w:rsidRDefault="65CB19D5" w:rsidP="00AA76E2">
      <w:pPr>
        <w:pStyle w:val="Heading1"/>
        <w:pageBreakBefore/>
        <w:rPr>
          <w:rFonts w:ascii="DeutscheBank" w:hAnsi="DeutscheBank"/>
          <w:sz w:val="28"/>
          <w:szCs w:val="28"/>
          <w:lang w:val="en-GB"/>
        </w:rPr>
      </w:pPr>
      <w:bookmarkStart w:id="28" w:name="_Toc239930532"/>
      <w:bookmarkStart w:id="29" w:name="_Toc240474429"/>
      <w:r w:rsidRPr="47163E79">
        <w:rPr>
          <w:rFonts w:ascii="DeutscheBank" w:hAnsi="DeutscheBank"/>
          <w:sz w:val="28"/>
          <w:szCs w:val="28"/>
          <w:lang w:val="en-GB"/>
        </w:rPr>
        <w:lastRenderedPageBreak/>
        <w:t xml:space="preserve">Turning Europe’s strengths into </w:t>
      </w:r>
      <w:bookmarkEnd w:id="28"/>
      <w:r w:rsidRPr="47163E79">
        <w:rPr>
          <w:rFonts w:ascii="DeutscheBank" w:hAnsi="DeutscheBank"/>
          <w:sz w:val="28"/>
          <w:szCs w:val="28"/>
          <w:lang w:val="en-GB"/>
        </w:rPr>
        <w:t>action</w:t>
      </w:r>
      <w:bookmarkEnd w:id="29"/>
    </w:p>
    <w:p w14:paraId="53213A66" w14:textId="416412B9" w:rsidR="0008751D" w:rsidRPr="00AA3CAD" w:rsidRDefault="0008751D" w:rsidP="00AA76E2">
      <w:pPr>
        <w:spacing w:after="150" w:line="288" w:lineRule="auto"/>
        <w:rPr>
          <w:lang w:val="en-US"/>
        </w:rPr>
      </w:pPr>
      <w:r w:rsidRPr="00BB676A">
        <w:rPr>
          <w:rFonts w:ascii="DeutscheBank" w:hAnsi="DeutscheBank"/>
          <w:sz w:val="20"/>
          <w:szCs w:val="20"/>
          <w:lang w:val="en-GB"/>
        </w:rPr>
        <w:t xml:space="preserve">Europe's resilience is an important part of its appeal, but investors do not see the region merely as </w:t>
      </w:r>
      <w:proofErr w:type="gramStart"/>
      <w:r w:rsidRPr="00BB676A">
        <w:rPr>
          <w:rFonts w:ascii="DeutscheBank" w:hAnsi="DeutscheBank"/>
          <w:sz w:val="20"/>
          <w:szCs w:val="20"/>
          <w:lang w:val="en-GB"/>
        </w:rPr>
        <w:t>a safe haven</w:t>
      </w:r>
      <w:proofErr w:type="gramEnd"/>
      <w:r w:rsidRPr="00BB676A">
        <w:rPr>
          <w:rFonts w:ascii="DeutscheBank" w:hAnsi="DeutscheBank"/>
          <w:sz w:val="20"/>
          <w:szCs w:val="20"/>
          <w:lang w:val="en-GB"/>
        </w:rPr>
        <w:t xml:space="preserve">. The findings show that Europe is valued just as much for its growth potential, innovative capacity, </w:t>
      </w:r>
      <w:r w:rsidR="4FA792A6" w:rsidRPr="47163E79">
        <w:rPr>
          <w:rFonts w:ascii="DeutscheBank" w:hAnsi="DeutscheBank"/>
          <w:sz w:val="20"/>
          <w:szCs w:val="20"/>
          <w:lang w:val="en-GB"/>
        </w:rPr>
        <w:t>industrial</w:t>
      </w:r>
      <w:r w:rsidRPr="00BB676A">
        <w:rPr>
          <w:rFonts w:ascii="DeutscheBank" w:hAnsi="DeutscheBank"/>
          <w:sz w:val="20"/>
          <w:szCs w:val="20"/>
          <w:lang w:val="en-GB"/>
        </w:rPr>
        <w:t xml:space="preserve"> strength and ability to scale. </w:t>
      </w:r>
    </w:p>
    <w:p w14:paraId="3CCA40CF" w14:textId="5B7CAAB7" w:rsidR="0008751D" w:rsidRPr="00571EC3" w:rsidRDefault="5FFC2355" w:rsidP="00571EC3">
      <w:pPr>
        <w:spacing w:line="300" w:lineRule="auto"/>
        <w:rPr>
          <w:rFonts w:ascii="Segoe UI" w:eastAsia="Segoe UI" w:hAnsi="Segoe UI" w:cs="Segoe UI"/>
          <w:lang w:val="en-US"/>
        </w:rPr>
      </w:pPr>
      <w:r w:rsidRPr="00AA3CAD">
        <w:rPr>
          <w:rFonts w:ascii="Segoe UI" w:eastAsia="Segoe UI" w:hAnsi="Segoe UI" w:cs="Segoe UI"/>
          <w:lang w:val="en-US"/>
        </w:rPr>
        <w:t>The question now is how Europe can make even better use of its existing strengths.</w:t>
      </w:r>
    </w:p>
    <w:p w14:paraId="3625124D" w14:textId="77777777" w:rsidR="0008751D" w:rsidRPr="001E5405" w:rsidRDefault="0008751D" w:rsidP="0008751D">
      <w:pPr>
        <w:spacing w:before="40" w:after="90"/>
        <w:jc w:val="both"/>
        <w:rPr>
          <w:rFonts w:ascii="DeutscheBank" w:hAnsi="DeutscheBank"/>
        </w:rPr>
      </w:pPr>
      <w:r w:rsidRPr="001E5405">
        <w:rPr>
          <w:rFonts w:ascii="DeutscheBank" w:hAnsi="DeutscheBank"/>
          <w:b/>
          <w:bCs/>
          <w:caps/>
          <w:color w:val="5A6472"/>
          <w:sz w:val="18"/>
          <w:szCs w:val="18"/>
        </w:rPr>
        <w:t>At a glance</w:t>
      </w:r>
    </w:p>
    <w:tbl>
      <w:tblPr>
        <w:tblW w:w="9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11"/>
        <w:gridCol w:w="2977"/>
        <w:gridCol w:w="2976"/>
      </w:tblGrid>
      <w:tr w:rsidR="0008751D" w:rsidRPr="00C66C08" w14:paraId="2FAA637B" w14:textId="77777777" w:rsidTr="000D3404">
        <w:tc>
          <w:tcPr>
            <w:tcW w:w="311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5A5B9946" w14:textId="64DCC6B0" w:rsidR="00A213D1" w:rsidRPr="001E5405" w:rsidRDefault="00A213D1" w:rsidP="00A213D1">
            <w:pPr>
              <w:spacing w:after="40"/>
              <w:jc w:val="both"/>
              <w:rPr>
                <w:rFonts w:ascii="DeutscheBank" w:hAnsi="DeutscheBank"/>
                <w:lang w:val="en-GB"/>
              </w:rPr>
            </w:pPr>
            <w:r w:rsidRPr="4A2C3BEB">
              <w:rPr>
                <w:rFonts w:ascii="DeutscheBank" w:hAnsi="DeutscheBank"/>
                <w:b/>
                <w:color w:val="0068B1"/>
                <w:sz w:val="30"/>
                <w:szCs w:val="30"/>
                <w:lang w:val="en-GB"/>
              </w:rPr>
              <w:t>74%</w:t>
            </w:r>
          </w:p>
          <w:p w14:paraId="6097FC50" w14:textId="66D6CB22" w:rsidR="0008751D" w:rsidRPr="001E5405" w:rsidRDefault="00A213D1" w:rsidP="00586B9D">
            <w:pPr>
              <w:rPr>
                <w:rFonts w:ascii="DeutscheBank" w:hAnsi="DeutscheBank"/>
                <w:lang w:val="en-GB"/>
              </w:rPr>
            </w:pPr>
            <w:r w:rsidRPr="001E5405">
              <w:rPr>
                <w:rFonts w:ascii="DeutscheBank" w:hAnsi="DeutscheBank"/>
                <w:color w:val="5A6472"/>
                <w:sz w:val="16"/>
                <w:szCs w:val="16"/>
                <w:lang w:val="en-GB"/>
              </w:rPr>
              <w:t>see growth opportunities as a clear advantage</w:t>
            </w:r>
            <w:r w:rsidRPr="4A2C3BEB" w:rsidDel="00A213D1">
              <w:rPr>
                <w:rFonts w:ascii="DeutscheBank" w:hAnsi="DeutscheBank"/>
                <w:b/>
                <w:color w:val="0068B1"/>
                <w:sz w:val="30"/>
                <w:szCs w:val="30"/>
                <w:lang w:val="en-GB"/>
              </w:rPr>
              <w:t xml:space="preserve"> </w:t>
            </w:r>
          </w:p>
        </w:tc>
        <w:tc>
          <w:tcPr>
            <w:tcW w:w="297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1122E960" w14:textId="27595FCF" w:rsidR="00A213D1" w:rsidRPr="001E5405" w:rsidRDefault="00A213D1" w:rsidP="00A213D1">
            <w:pPr>
              <w:spacing w:after="40"/>
              <w:jc w:val="both"/>
              <w:rPr>
                <w:rFonts w:ascii="DeutscheBank" w:hAnsi="DeutscheBank"/>
                <w:lang w:val="en-GB"/>
              </w:rPr>
            </w:pPr>
            <w:r w:rsidRPr="4A2C3BEB">
              <w:rPr>
                <w:rFonts w:ascii="DeutscheBank" w:hAnsi="DeutscheBank"/>
                <w:b/>
                <w:color w:val="0068B1"/>
                <w:sz w:val="30"/>
                <w:szCs w:val="30"/>
                <w:lang w:val="en-GB"/>
              </w:rPr>
              <w:t>71%</w:t>
            </w:r>
          </w:p>
          <w:p w14:paraId="3390A722" w14:textId="1590EBFD" w:rsidR="0008751D" w:rsidRPr="001E5405" w:rsidRDefault="00A213D1" w:rsidP="00586B9D">
            <w:pPr>
              <w:rPr>
                <w:rFonts w:ascii="DeutscheBank" w:hAnsi="DeutscheBank"/>
                <w:lang w:val="en-GB"/>
              </w:rPr>
            </w:pPr>
            <w:r w:rsidRPr="001E5405">
              <w:rPr>
                <w:rFonts w:ascii="DeutscheBank" w:hAnsi="DeutscheBank"/>
                <w:color w:val="5A6472"/>
                <w:sz w:val="16"/>
                <w:szCs w:val="16"/>
                <w:lang w:val="en-GB"/>
              </w:rPr>
              <w:t>see innovation and AI as a clear advantage</w:t>
            </w:r>
            <w:r w:rsidRPr="4A2C3BEB" w:rsidDel="00A213D1">
              <w:rPr>
                <w:rFonts w:ascii="DeutscheBank" w:hAnsi="DeutscheBank"/>
                <w:b/>
                <w:color w:val="0068B1"/>
                <w:sz w:val="30"/>
                <w:szCs w:val="30"/>
                <w:lang w:val="en-GB"/>
              </w:rPr>
              <w:t xml:space="preserve"> </w:t>
            </w:r>
          </w:p>
        </w:tc>
        <w:tc>
          <w:tcPr>
            <w:tcW w:w="29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4E8D5725" w14:textId="6C57E126" w:rsidR="00A213D1" w:rsidRPr="00C00737" w:rsidRDefault="00A213D1" w:rsidP="00A213D1">
            <w:pPr>
              <w:spacing w:after="40"/>
              <w:jc w:val="both"/>
              <w:rPr>
                <w:rFonts w:ascii="DeutscheBank" w:hAnsi="DeutscheBank"/>
                <w:b/>
                <w:color w:val="0068B1"/>
                <w:sz w:val="30"/>
                <w:szCs w:val="30"/>
                <w:lang w:val="en-GB"/>
              </w:rPr>
            </w:pPr>
            <w:r w:rsidRPr="4A2C3BEB">
              <w:rPr>
                <w:rFonts w:ascii="DeutscheBank" w:hAnsi="DeutscheBank"/>
                <w:b/>
                <w:color w:val="0068B1"/>
                <w:sz w:val="30"/>
                <w:szCs w:val="30"/>
                <w:lang w:val="en-GB"/>
              </w:rPr>
              <w:t>99%</w:t>
            </w:r>
          </w:p>
          <w:p w14:paraId="7B1595F6" w14:textId="62DBE8C7" w:rsidR="0008751D" w:rsidRPr="001E5405" w:rsidRDefault="00A213D1" w:rsidP="00586B9D">
            <w:pPr>
              <w:rPr>
                <w:rFonts w:ascii="DeutscheBank" w:hAnsi="DeutscheBank"/>
                <w:lang w:val="en-GB"/>
              </w:rPr>
            </w:pPr>
            <w:r w:rsidRPr="001E5405">
              <w:rPr>
                <w:rFonts w:ascii="DeutscheBank" w:hAnsi="DeutscheBank"/>
                <w:color w:val="5A6472"/>
                <w:sz w:val="16"/>
                <w:szCs w:val="16"/>
                <w:lang w:val="en-GB"/>
              </w:rPr>
              <w:t>call Europe an important consumer market</w:t>
            </w:r>
            <w:r w:rsidRPr="4A2C3BEB">
              <w:rPr>
                <w:rFonts w:ascii="DeutscheBank" w:hAnsi="DeutscheBank"/>
                <w:b/>
                <w:color w:val="0068B1"/>
                <w:sz w:val="30"/>
                <w:szCs w:val="30"/>
                <w:lang w:val="en-GB"/>
              </w:rPr>
              <w:t xml:space="preserve"> </w:t>
            </w:r>
          </w:p>
        </w:tc>
      </w:tr>
    </w:tbl>
    <w:p w14:paraId="36B73CAD" w14:textId="0FA2B729" w:rsidR="0008751D" w:rsidRPr="001E5405" w:rsidRDefault="0008751D" w:rsidP="0008751D">
      <w:pPr>
        <w:spacing w:after="80"/>
        <w:jc w:val="both"/>
        <w:rPr>
          <w:rFonts w:ascii="DeutscheBank" w:hAnsi="DeutscheBank"/>
          <w:lang w:val="en-GB"/>
        </w:rPr>
      </w:pPr>
    </w:p>
    <w:p w14:paraId="6A6E5E56" w14:textId="6EFEA83E" w:rsidR="240CC2ED" w:rsidRPr="007E5BC9" w:rsidRDefault="240CC2ED" w:rsidP="47163E79">
      <w:pPr>
        <w:pStyle w:val="Heading2"/>
        <w:rPr>
          <w:rFonts w:ascii="Segoe UI" w:eastAsia="Segoe UI" w:hAnsi="Segoe UI" w:cs="Segoe UI"/>
          <w:sz w:val="21"/>
          <w:szCs w:val="21"/>
          <w:lang w:val="en-US"/>
        </w:rPr>
      </w:pPr>
      <w:r w:rsidRPr="007E5BC9">
        <w:rPr>
          <w:rFonts w:ascii="Segoe UI" w:eastAsia="Segoe UI" w:hAnsi="Segoe UI" w:cs="Segoe UI"/>
          <w:sz w:val="21"/>
          <w:szCs w:val="21"/>
          <w:lang w:val="en-US"/>
        </w:rPr>
        <w:t>Growth opportunities drive interest, stability builds confidence</w:t>
      </w:r>
    </w:p>
    <w:p w14:paraId="55BC0FEB" w14:textId="5CCD6E2E" w:rsidR="240CC2ED" w:rsidRPr="00703FCE" w:rsidRDefault="240CC2ED" w:rsidP="007E5BC9">
      <w:pPr>
        <w:pStyle w:val="Heading2"/>
        <w:numPr>
          <w:ilvl w:val="0"/>
          <w:numId w:val="0"/>
        </w:numPr>
        <w:spacing w:after="150" w:line="288" w:lineRule="auto"/>
        <w:rPr>
          <w:rFonts w:ascii="DeutscheBank" w:eastAsia="Arial" w:hAnsi="DeutscheBank" w:cs="Arial"/>
          <w:b w:val="0"/>
          <w:bCs w:val="0"/>
          <w:noProof w:val="0"/>
          <w:color w:val="222222"/>
          <w:sz w:val="20"/>
          <w:szCs w:val="20"/>
          <w:lang w:val="en-GB"/>
        </w:rPr>
      </w:pPr>
      <w:r w:rsidRPr="00703FCE">
        <w:rPr>
          <w:rFonts w:ascii="DeutscheBank" w:eastAsia="Arial" w:hAnsi="DeutscheBank" w:cs="Arial"/>
          <w:b w:val="0"/>
          <w:bCs w:val="0"/>
          <w:noProof w:val="0"/>
          <w:color w:val="222222"/>
          <w:sz w:val="20"/>
          <w:szCs w:val="20"/>
          <w:lang w:val="en-GB"/>
        </w:rPr>
        <w:t xml:space="preserve">Europe’s greatest strengths are all </w:t>
      </w:r>
      <w:proofErr w:type="gramStart"/>
      <w:r w:rsidRPr="00703FCE">
        <w:rPr>
          <w:rFonts w:ascii="DeutscheBank" w:eastAsia="Arial" w:hAnsi="DeutscheBank" w:cs="Arial"/>
          <w:b w:val="0"/>
          <w:bCs w:val="0"/>
          <w:noProof w:val="0"/>
          <w:color w:val="222222"/>
          <w:sz w:val="20"/>
          <w:szCs w:val="20"/>
          <w:lang w:val="en-GB"/>
        </w:rPr>
        <w:t>future-oriented</w:t>
      </w:r>
      <w:proofErr w:type="gramEnd"/>
      <w:r w:rsidRPr="00703FCE">
        <w:rPr>
          <w:rFonts w:ascii="DeutscheBank" w:eastAsia="Arial" w:hAnsi="DeutscheBank" w:cs="Arial"/>
          <w:b w:val="0"/>
          <w:bCs w:val="0"/>
          <w:noProof w:val="0"/>
          <w:color w:val="222222"/>
          <w:sz w:val="20"/>
          <w:szCs w:val="20"/>
          <w:lang w:val="en-GB"/>
        </w:rPr>
        <w:t>. At the top are growth opportunities, innovative capacity, international relationships and economic stability. Between 6</w:t>
      </w:r>
      <w:r w:rsidR="4C22F4C1" w:rsidRPr="00703FCE">
        <w:rPr>
          <w:rFonts w:ascii="DeutscheBank" w:eastAsia="Arial" w:hAnsi="DeutscheBank" w:cs="Arial"/>
          <w:b w:val="0"/>
          <w:bCs w:val="0"/>
          <w:noProof w:val="0"/>
          <w:color w:val="222222"/>
          <w:sz w:val="20"/>
          <w:szCs w:val="20"/>
          <w:lang w:val="en-GB"/>
        </w:rPr>
        <w:t>8</w:t>
      </w:r>
      <w:r w:rsidRPr="00703FCE">
        <w:rPr>
          <w:rFonts w:ascii="DeutscheBank" w:eastAsia="Arial" w:hAnsi="DeutscheBank" w:cs="Arial"/>
          <w:b w:val="0"/>
          <w:bCs w:val="0"/>
          <w:noProof w:val="0"/>
          <w:color w:val="222222"/>
          <w:sz w:val="20"/>
          <w:szCs w:val="20"/>
          <w:lang w:val="en-GB"/>
        </w:rPr>
        <w:t xml:space="preserve"> and 74 percent of respondents </w:t>
      </w:r>
      <w:r w:rsidR="4E6F6A4E" w:rsidRPr="00703FCE">
        <w:rPr>
          <w:rFonts w:ascii="DeutscheBank" w:eastAsia="Arial" w:hAnsi="DeutscheBank" w:cs="Arial"/>
          <w:b w:val="0"/>
          <w:bCs w:val="0"/>
          <w:noProof w:val="0"/>
          <w:color w:val="222222"/>
          <w:sz w:val="20"/>
          <w:szCs w:val="20"/>
          <w:lang w:val="en-GB"/>
        </w:rPr>
        <w:t xml:space="preserve">consider </w:t>
      </w:r>
      <w:r w:rsidRPr="00703FCE">
        <w:rPr>
          <w:rFonts w:ascii="DeutscheBank" w:eastAsia="Arial" w:hAnsi="DeutscheBank" w:cs="Arial"/>
          <w:b w:val="0"/>
          <w:bCs w:val="0"/>
          <w:noProof w:val="0"/>
          <w:color w:val="222222"/>
          <w:sz w:val="20"/>
          <w:szCs w:val="20"/>
          <w:lang w:val="en-GB"/>
        </w:rPr>
        <w:t>each of these factors as a str</w:t>
      </w:r>
      <w:r w:rsidR="72AB035E" w:rsidRPr="00703FCE">
        <w:rPr>
          <w:rFonts w:ascii="DeutscheBank" w:eastAsia="Arial" w:hAnsi="DeutscheBank" w:cs="Arial"/>
          <w:b w:val="0"/>
          <w:bCs w:val="0"/>
          <w:noProof w:val="0"/>
          <w:color w:val="222222"/>
          <w:sz w:val="20"/>
          <w:szCs w:val="20"/>
          <w:lang w:val="en-GB"/>
        </w:rPr>
        <w:t>ong or moderate advantage</w:t>
      </w:r>
      <w:r w:rsidR="7912C31C" w:rsidRPr="00703FCE">
        <w:rPr>
          <w:rFonts w:ascii="DeutscheBank" w:eastAsia="Arial" w:hAnsi="DeutscheBank" w:cs="Arial"/>
          <w:b w:val="0"/>
          <w:bCs w:val="0"/>
          <w:noProof w:val="0"/>
          <w:color w:val="222222"/>
          <w:sz w:val="20"/>
          <w:szCs w:val="20"/>
          <w:lang w:val="en-GB"/>
        </w:rPr>
        <w:t>; 25 to 32 percent</w:t>
      </w:r>
      <w:r w:rsidR="6634E4B4" w:rsidRPr="00703FCE">
        <w:rPr>
          <w:rFonts w:ascii="DeutscheBank" w:eastAsia="Arial" w:hAnsi="DeutscheBank" w:cs="Arial"/>
          <w:b w:val="0"/>
          <w:bCs w:val="0"/>
          <w:noProof w:val="0"/>
          <w:color w:val="222222"/>
          <w:sz w:val="20"/>
          <w:szCs w:val="20"/>
          <w:lang w:val="en-GB"/>
        </w:rPr>
        <w:t xml:space="preserve"> even rate them highest</w:t>
      </w:r>
      <w:r w:rsidRPr="00703FCE">
        <w:rPr>
          <w:rFonts w:ascii="DeutscheBank" w:eastAsia="Arial" w:hAnsi="DeutscheBank" w:cs="Arial"/>
          <w:b w:val="0"/>
          <w:bCs w:val="0"/>
          <w:noProof w:val="0"/>
          <w:color w:val="222222"/>
          <w:sz w:val="20"/>
          <w:szCs w:val="20"/>
          <w:lang w:val="en-GB"/>
        </w:rPr>
        <w:t xml:space="preserve">. </w:t>
      </w:r>
      <w:r w:rsidR="71970581" w:rsidRPr="00703FCE">
        <w:rPr>
          <w:rFonts w:ascii="DeutscheBank" w:eastAsia="Arial" w:hAnsi="DeutscheBank" w:cs="Arial"/>
          <w:b w:val="0"/>
          <w:bCs w:val="0"/>
          <w:noProof w:val="0"/>
          <w:color w:val="222222"/>
          <w:sz w:val="20"/>
          <w:szCs w:val="20"/>
          <w:lang w:val="en-GB"/>
        </w:rPr>
        <w:t xml:space="preserve">Europe’s appeal rests first on growth and innovation opportunities, with stability strengthening rather than defining the investment case. </w:t>
      </w:r>
    </w:p>
    <w:p w14:paraId="25C784BD" w14:textId="515E8E11" w:rsidR="47163E79" w:rsidRPr="007E5BC9" w:rsidRDefault="47163E79" w:rsidP="007E5BC9">
      <w:pPr>
        <w:rPr>
          <w:b/>
          <w:lang w:val="en-US"/>
        </w:rPr>
      </w:pPr>
    </w:p>
    <w:p w14:paraId="4751F541" w14:textId="2F3F5925" w:rsidR="46ABB638" w:rsidRPr="00C66C08" w:rsidRDefault="207D5CAD" w:rsidP="5D6E883F">
      <w:pPr>
        <w:pStyle w:val="Heading2"/>
        <w:numPr>
          <w:ilvl w:val="0"/>
          <w:numId w:val="0"/>
        </w:numPr>
        <w:spacing w:before="210" w:after="210" w:line="300" w:lineRule="auto"/>
        <w:rPr>
          <w:sz w:val="20"/>
          <w:szCs w:val="20"/>
          <w:lang w:val="en-GB"/>
        </w:rPr>
      </w:pPr>
      <w:r w:rsidRPr="00C66C08">
        <w:rPr>
          <w:sz w:val="20"/>
          <w:szCs w:val="20"/>
          <w:lang w:val="en-GB"/>
        </w:rPr>
        <w:t>Figure 9: Europe’s key strengths compared to other regions</w:t>
      </w:r>
      <w:r w:rsidRPr="00C66C08">
        <w:rPr>
          <w:lang w:val="en-GB"/>
        </w:rPr>
        <w:tab/>
      </w:r>
      <w:r w:rsidRPr="00C66C08">
        <w:rPr>
          <w:lang w:val="en-GB"/>
        </w:rPr>
        <w:tab/>
      </w:r>
      <w:r w:rsidRPr="00C66C08">
        <w:rPr>
          <w:lang w:val="en-GB"/>
        </w:rPr>
        <w:tab/>
      </w:r>
      <w:r w:rsidRPr="00C66C08">
        <w:rPr>
          <w:lang w:val="en-GB"/>
        </w:rPr>
        <w:tab/>
      </w:r>
      <w:r w:rsidR="00586B9D" w:rsidRPr="00C66C08">
        <w:rPr>
          <w:sz w:val="20"/>
          <w:szCs w:val="20"/>
          <w:lang w:val="en-GB"/>
        </w:rPr>
        <w:t xml:space="preserve">                        </w:t>
      </w:r>
      <w:r w:rsidRPr="00C66C08">
        <w:rPr>
          <w:sz w:val="20"/>
          <w:szCs w:val="20"/>
          <w:lang w:val="en-GB"/>
        </w:rPr>
        <w:t xml:space="preserve"> </w:t>
      </w:r>
      <w:r w:rsidR="00586B9D" w:rsidRPr="00C66C08">
        <w:rPr>
          <w:b w:val="0"/>
          <w:bCs w:val="0"/>
          <w:sz w:val="20"/>
          <w:szCs w:val="20"/>
          <w:lang w:val="en-GB"/>
        </w:rPr>
        <w:t>(</w:t>
      </w:r>
      <w:r w:rsidR="23206C94" w:rsidRPr="00C66C08">
        <w:rPr>
          <w:b w:val="0"/>
          <w:bCs w:val="0"/>
          <w:sz w:val="20"/>
          <w:szCs w:val="20"/>
          <w:lang w:val="en-GB"/>
        </w:rPr>
        <w:t>A</w:t>
      </w:r>
      <w:r w:rsidR="00586B9D" w:rsidRPr="00C66C08">
        <w:rPr>
          <w:b w:val="0"/>
          <w:bCs w:val="0"/>
          <w:sz w:val="20"/>
          <w:szCs w:val="20"/>
          <w:lang w:val="en-GB"/>
        </w:rPr>
        <w:t>ll respondents)</w:t>
      </w:r>
    </w:p>
    <w:p w14:paraId="403A5CAC" w14:textId="32432E09" w:rsidR="46ABB638" w:rsidRPr="007E5BC9" w:rsidRDefault="46ABB638" w:rsidP="47163E79">
      <w:pPr>
        <w:rPr>
          <w:rFonts w:ascii="DeutscheBank" w:hAnsi="DeutscheBank"/>
        </w:rPr>
      </w:pPr>
      <w:r>
        <w:rPr>
          <w:noProof/>
        </w:rPr>
        <w:drawing>
          <wp:inline distT="0" distB="0" distL="0" distR="0" wp14:anchorId="274243F4" wp14:editId="1CE88708">
            <wp:extent cx="5760720" cy="2775585"/>
            <wp:effectExtent l="0" t="0" r="0" b="5715"/>
            <wp:docPr id="1291871933" name="Grafik 15" descr="Horizontal stacked bar chart compares perceived advantages across growth opportunities, innovation, digital and AI, international relationships, and economic and market stability. Dark-to-light blue segments represent strong, moderate, and slight advantages, while yellow and red segments represent disadvantages. Right-side totals rank growth opportunities highest at 74%, followed by innovation, digital and AI at 71%, international relationships at 70%, and economic and market stability at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871933" name="Grafik 15" descr="Horizontal stacked bar chart compares perceived advantages across growth opportunities, innovation, digital and AI, international relationships, and economic and market stability. Dark-to-light blue segments represent strong, moderate, and slight advantages, while yellow and red segments represent disadvantages. Right-side totals rank growth opportunities highest at 74%, followed by innovation, digital and AI at 71%, international relationships at 70%, and economic and market stability at 6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2775585"/>
                    </a:xfrm>
                    <a:prstGeom prst="rect">
                      <a:avLst/>
                    </a:prstGeom>
                    <a:noFill/>
                    <a:ln>
                      <a:noFill/>
                    </a:ln>
                  </pic:spPr>
                </pic:pic>
              </a:graphicData>
            </a:graphic>
          </wp:inline>
        </w:drawing>
      </w:r>
    </w:p>
    <w:p w14:paraId="32C5820C" w14:textId="6754B813" w:rsidR="3B2F9D1D" w:rsidRDefault="3B2F9D1D" w:rsidP="041E5C19">
      <w:pPr>
        <w:spacing w:after="180"/>
        <w:jc w:val="both"/>
        <w:rPr>
          <w:rFonts w:ascii="DeutscheBank" w:hAnsi="DeutscheBank"/>
          <w:lang w:val="en-GB"/>
        </w:rPr>
      </w:pPr>
      <w:r w:rsidRPr="041E5C19">
        <w:rPr>
          <w:rFonts w:ascii="DeutscheBank" w:hAnsi="DeutscheBank"/>
          <w:b/>
          <w:bCs/>
          <w:color w:val="000000" w:themeColor="text1"/>
          <w:sz w:val="16"/>
          <w:szCs w:val="16"/>
          <w:lang w:val="en-GB"/>
        </w:rPr>
        <w:t xml:space="preserve">Source: </w:t>
      </w:r>
      <w:r w:rsidRPr="041E5C19">
        <w:rPr>
          <w:rFonts w:ascii="DeutscheBank" w:hAnsi="DeutscheBank"/>
          <w:color w:val="000000" w:themeColor="text1"/>
          <w:sz w:val="16"/>
          <w:szCs w:val="16"/>
          <w:lang w:val="en-GB"/>
        </w:rPr>
        <w:t>Global Sentiment Survey on Europe 2026, B2B online survey. Base: all respondents, n = 1,200</w:t>
      </w:r>
    </w:p>
    <w:p w14:paraId="1C40EF57" w14:textId="5A103263" w:rsidR="00C00737" w:rsidRDefault="00C00737">
      <w:pPr>
        <w:spacing w:after="160" w:line="24" w:lineRule="auto"/>
        <w:rPr>
          <w:lang w:val="en-GB"/>
        </w:rPr>
      </w:pPr>
      <w:r>
        <w:rPr>
          <w:lang w:val="en-GB"/>
        </w:rPr>
        <w:br w:type="page"/>
      </w:r>
    </w:p>
    <w:p w14:paraId="3A69DD1A" w14:textId="77777777" w:rsidR="47163E79" w:rsidRPr="007E5BC9" w:rsidRDefault="47163E79" w:rsidP="47163E79">
      <w:pPr>
        <w:rPr>
          <w:lang w:val="en-GB"/>
        </w:rPr>
      </w:pPr>
    </w:p>
    <w:p w14:paraId="2E9F8E44" w14:textId="2F14749E" w:rsidR="0008751D" w:rsidRPr="00BB676A" w:rsidRDefault="0008751D" w:rsidP="00AA76E2">
      <w:pPr>
        <w:pStyle w:val="Heading2"/>
        <w:rPr>
          <w:rFonts w:ascii="DeutscheBank" w:hAnsi="DeutscheBank"/>
          <w:color w:val="000000" w:themeColor="text1"/>
          <w:sz w:val="20"/>
          <w:szCs w:val="20"/>
          <w:lang w:val="en-GB"/>
        </w:rPr>
      </w:pPr>
      <w:bookmarkStart w:id="30" w:name="_Toc239842195"/>
      <w:bookmarkStart w:id="31" w:name="_Toc239930533"/>
      <w:r w:rsidRPr="00BB676A">
        <w:rPr>
          <w:rFonts w:ascii="DeutscheBank" w:hAnsi="DeutscheBank"/>
          <w:color w:val="000000" w:themeColor="text1"/>
          <w:sz w:val="20"/>
          <w:szCs w:val="20"/>
          <w:lang w:val="en-GB"/>
        </w:rPr>
        <w:t xml:space="preserve">Almost universally valued as a </w:t>
      </w:r>
      <w:r w:rsidR="00AF3BFB">
        <w:rPr>
          <w:rFonts w:ascii="DeutscheBank" w:hAnsi="DeutscheBank"/>
          <w:color w:val="000000" w:themeColor="text1"/>
          <w:sz w:val="20"/>
          <w:szCs w:val="20"/>
          <w:lang w:val="en-GB"/>
        </w:rPr>
        <w:t xml:space="preserve">consumer </w:t>
      </w:r>
      <w:r w:rsidRPr="00BB676A">
        <w:rPr>
          <w:rFonts w:ascii="DeutscheBank" w:hAnsi="DeutscheBank"/>
          <w:color w:val="000000" w:themeColor="text1"/>
          <w:sz w:val="20"/>
          <w:szCs w:val="20"/>
          <w:lang w:val="en-GB"/>
        </w:rPr>
        <w:t>market</w:t>
      </w:r>
      <w:bookmarkEnd w:id="30"/>
      <w:bookmarkEnd w:id="31"/>
    </w:p>
    <w:p w14:paraId="3A21A33E" w14:textId="48CCA263" w:rsidR="0008751D" w:rsidRDefault="0008751D" w:rsidP="00AA76E2">
      <w:pPr>
        <w:spacing w:after="150" w:line="288" w:lineRule="auto"/>
        <w:rPr>
          <w:rFonts w:ascii="DeutscheBank" w:hAnsi="DeutscheBank"/>
          <w:sz w:val="20"/>
          <w:szCs w:val="20"/>
          <w:lang w:val="en-GB"/>
        </w:rPr>
      </w:pPr>
      <w:r w:rsidRPr="00BB676A">
        <w:rPr>
          <w:rFonts w:ascii="DeutscheBank" w:hAnsi="DeutscheBank"/>
          <w:sz w:val="20"/>
          <w:szCs w:val="20"/>
          <w:lang w:val="en-GB"/>
        </w:rPr>
        <w:t xml:space="preserve">On the demand side, the case is settled. Europe is valued almost universally as a consumer market: 99 percent of respondents rate it </w:t>
      </w:r>
      <w:r w:rsidR="047E1143" w:rsidRPr="5F675D6C">
        <w:rPr>
          <w:rFonts w:ascii="DeutscheBank" w:hAnsi="DeutscheBank"/>
          <w:sz w:val="20"/>
          <w:szCs w:val="20"/>
          <w:lang w:val="en-GB"/>
        </w:rPr>
        <w:t xml:space="preserve">as </w:t>
      </w:r>
      <w:r w:rsidRPr="00BB676A">
        <w:rPr>
          <w:rFonts w:ascii="DeutscheBank" w:hAnsi="DeutscheBank"/>
          <w:sz w:val="20"/>
          <w:szCs w:val="20"/>
          <w:lang w:val="en-GB"/>
        </w:rPr>
        <w:t>important for their growth over the next three to five years, with 58 percent saying very important and a further 41 percent somewhat important. Europe's purchasing power – a large, wealthy and stable base of consumers – remains a first-order reason for international companies to be present.</w:t>
      </w:r>
    </w:p>
    <w:p w14:paraId="37804183" w14:textId="6592E25C" w:rsidR="0008751D" w:rsidRPr="00BB676A" w:rsidRDefault="0008751D" w:rsidP="0008751D">
      <w:pPr>
        <w:pStyle w:val="Caption"/>
        <w:rPr>
          <w:rFonts w:ascii="DeutscheBank" w:eastAsia="Arial" w:hAnsi="DeutscheBank" w:cs="Arial"/>
          <w:lang w:val="en-GB" w:eastAsia="de-DE"/>
          <w14:ligatures w14:val="none"/>
        </w:rPr>
      </w:pPr>
      <w:r w:rsidRPr="5F675D6C">
        <w:rPr>
          <w:rFonts w:ascii="DeutscheBank" w:eastAsia="Arial" w:hAnsi="DeutscheBank" w:cs="Arial"/>
          <w:lang w:val="en-GB" w:eastAsia="de-DE"/>
          <w14:ligatures w14:val="none"/>
        </w:rPr>
        <w:t xml:space="preserve">Figure </w:t>
      </w:r>
      <w:r w:rsidR="516BA84D" w:rsidRPr="47163E79">
        <w:rPr>
          <w:rFonts w:ascii="DeutscheBank" w:eastAsia="Arial" w:hAnsi="DeutscheBank" w:cs="Arial"/>
          <w:lang w:val="en-GB" w:eastAsia="de-DE"/>
        </w:rPr>
        <w:t>10</w:t>
      </w:r>
      <w:r w:rsidRPr="47163E79">
        <w:rPr>
          <w:rFonts w:ascii="DeutscheBank" w:eastAsia="Arial" w:hAnsi="DeutscheBank" w:cs="Arial"/>
          <w:lang w:val="en-GB" w:eastAsia="de-DE"/>
        </w:rPr>
        <w:t xml:space="preserve">: </w:t>
      </w:r>
      <w:r w:rsidR="5F968051" w:rsidRPr="5F675D6C">
        <w:rPr>
          <w:rFonts w:ascii="DeutscheBank" w:eastAsia="Arial" w:hAnsi="DeutscheBank" w:cs="Arial"/>
          <w:lang w:val="en-GB" w:eastAsia="de-DE"/>
        </w:rPr>
        <w:t xml:space="preserve">Share of companies that see </w:t>
      </w:r>
      <w:r w:rsidRPr="5F675D6C">
        <w:rPr>
          <w:rFonts w:ascii="DeutscheBank" w:eastAsia="Arial" w:hAnsi="DeutscheBank" w:cs="Arial"/>
          <w:lang w:val="en-GB" w:eastAsia="de-DE"/>
        </w:rPr>
        <w:t>Europe as a</w:t>
      </w:r>
      <w:r w:rsidR="4E3611B1" w:rsidRPr="5F675D6C">
        <w:rPr>
          <w:rFonts w:ascii="DeutscheBank" w:eastAsia="Arial" w:hAnsi="DeutscheBank" w:cs="Arial"/>
          <w:lang w:val="en-GB" w:eastAsia="de-DE"/>
        </w:rPr>
        <w:t>n important</w:t>
      </w:r>
      <w:r w:rsidRPr="5F675D6C">
        <w:rPr>
          <w:rFonts w:ascii="DeutscheBank" w:eastAsia="Arial" w:hAnsi="DeutscheBank" w:cs="Arial"/>
          <w:lang w:val="en-GB" w:eastAsia="de-DE"/>
        </w:rPr>
        <w:t xml:space="preserve"> consumer market</w:t>
      </w:r>
      <w:r w:rsidR="2EB75254" w:rsidRPr="5F675D6C">
        <w:rPr>
          <w:rFonts w:ascii="DeutscheBank" w:eastAsia="Arial" w:hAnsi="DeutscheBank" w:cs="Arial"/>
          <w:lang w:val="en-GB" w:eastAsia="de-DE"/>
        </w:rPr>
        <w:t xml:space="preserve"> </w:t>
      </w:r>
      <w:r w:rsidR="1CA72758" w:rsidRPr="5F675D6C">
        <w:rPr>
          <w:rFonts w:ascii="DeutscheBank" w:eastAsia="Arial" w:hAnsi="DeutscheBank" w:cs="Arial"/>
          <w:lang w:val="en-GB" w:eastAsia="de-DE"/>
        </w:rPr>
        <w:t>with</w:t>
      </w:r>
      <w:r w:rsidR="2EB75254" w:rsidRPr="5F675D6C">
        <w:rPr>
          <w:rFonts w:ascii="DeutscheBank" w:eastAsia="Arial" w:hAnsi="DeutscheBank" w:cs="Arial"/>
          <w:lang w:val="en-GB" w:eastAsia="de-DE"/>
        </w:rPr>
        <w:t>in the next five years</w:t>
      </w:r>
    </w:p>
    <w:p w14:paraId="4E5E1D13" w14:textId="36DD7B88" w:rsidR="0008751D" w:rsidRPr="00BB676A" w:rsidRDefault="0008751D" w:rsidP="0008751D">
      <w:pPr>
        <w:pStyle w:val="Copy"/>
        <w:rPr>
          <w:rFonts w:ascii="DeutscheBank" w:hAnsi="DeutscheBank"/>
          <w:lang w:val="en-GB"/>
        </w:rPr>
      </w:pPr>
      <w:r w:rsidRPr="5F675D6C">
        <w:rPr>
          <w:rFonts w:ascii="DeutscheBank" w:eastAsia="Arial" w:hAnsi="DeutscheBank" w:cs="Arial"/>
          <w:color w:val="222222"/>
          <w:lang w:val="en-GB" w:eastAsia="de-DE"/>
          <w14:ligatures w14:val="none"/>
        </w:rPr>
        <w:t>(</w:t>
      </w:r>
      <w:r w:rsidR="04A0569C" w:rsidRPr="3C04F8BB">
        <w:rPr>
          <w:rFonts w:ascii="DeutscheBank" w:eastAsia="Arial" w:hAnsi="DeutscheBank" w:cs="Arial"/>
          <w:color w:val="222222"/>
          <w:lang w:val="en-GB" w:eastAsia="de-DE"/>
        </w:rPr>
        <w:t>A</w:t>
      </w:r>
      <w:r w:rsidRPr="3C04F8BB" w:rsidDel="00586B9D">
        <w:rPr>
          <w:rFonts w:ascii="DeutscheBank" w:eastAsia="Arial" w:hAnsi="DeutscheBank" w:cs="Arial"/>
          <w:color w:val="222222"/>
          <w:lang w:val="en-GB" w:eastAsia="de-DE"/>
        </w:rPr>
        <w:t>ll respondents)</w:t>
      </w:r>
    </w:p>
    <w:p w14:paraId="0B8E3D9E" w14:textId="77777777" w:rsidR="0008751D" w:rsidRPr="001E5405" w:rsidRDefault="0008751D" w:rsidP="0008751D">
      <w:pPr>
        <w:keepNext/>
        <w:spacing w:before="140" w:after="40"/>
        <w:jc w:val="center"/>
        <w:rPr>
          <w:rFonts w:ascii="DeutscheBank" w:hAnsi="DeutscheBank"/>
        </w:rPr>
      </w:pPr>
      <w:r>
        <w:rPr>
          <w:noProof/>
        </w:rPr>
        <w:drawing>
          <wp:inline distT="0" distB="0" distL="0" distR="0" wp14:anchorId="6DF2E84E" wp14:editId="304B3838">
            <wp:extent cx="3816350" cy="2207294"/>
            <wp:effectExtent l="0" t="0" r="0" b="2540"/>
            <wp:docPr id="595665601" name="Grafik 1" descr="Donut chart shows the importance of Europe as a consumer market. It summarizes survey responses in 58% “Very important,” 41% “Somewhat important,” and 1% “Not very important.” Dark-blue, blue, cyan, and light-blue legend categories distinguish response levels, with no visible share for “Not important at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665601" name="Grafik 1" descr="Donut chart shows the importance of Europe as a consumer market. It summarizes survey responses in 58% “Very important,” 41% “Somewhat important,” and 1% “Not very important.” Dark-blue, blue, cyan, and light-blue legend categories distinguish response levels, with no visible share for “Not important at all.”"/>
                    <pic:cNvPicPr/>
                  </pic:nvPicPr>
                  <pic:blipFill>
                    <a:blip r:embed="rId21">
                      <a:extLst>
                        <a:ext uri="{28A0092B-C50C-407E-A947-70E740481C1C}">
                          <a14:useLocalDpi xmlns:a14="http://schemas.microsoft.com/office/drawing/2010/main" val="0"/>
                        </a:ext>
                      </a:extLst>
                    </a:blip>
                    <a:stretch>
                      <a:fillRect/>
                    </a:stretch>
                  </pic:blipFill>
                  <pic:spPr>
                    <a:xfrm>
                      <a:off x="0" y="0"/>
                      <a:ext cx="3845444" cy="2224121"/>
                    </a:xfrm>
                    <a:prstGeom prst="rect">
                      <a:avLst/>
                    </a:prstGeom>
                  </pic:spPr>
                </pic:pic>
              </a:graphicData>
            </a:graphic>
          </wp:inline>
        </w:drawing>
      </w:r>
    </w:p>
    <w:p w14:paraId="5F165ADC" w14:textId="22E2C8CD" w:rsidR="041E5C19" w:rsidRDefault="041E5C19" w:rsidP="041E5C19">
      <w:pPr>
        <w:spacing w:after="180"/>
        <w:jc w:val="both"/>
        <w:rPr>
          <w:rFonts w:ascii="DeutscheBank" w:hAnsi="DeutscheBank"/>
          <w:b/>
          <w:bCs/>
          <w:color w:val="000000" w:themeColor="text1"/>
          <w:sz w:val="16"/>
          <w:szCs w:val="16"/>
          <w:lang w:val="en-GB"/>
        </w:rPr>
      </w:pPr>
    </w:p>
    <w:p w14:paraId="6ADE9676" w14:textId="77777777" w:rsidR="0008751D" w:rsidRPr="001E5405" w:rsidRDefault="0008751D" w:rsidP="0008751D">
      <w:pPr>
        <w:spacing w:after="180"/>
        <w:jc w:val="both"/>
        <w:rPr>
          <w:rFonts w:ascii="DeutscheBank" w:hAnsi="DeutscheBank"/>
          <w:lang w:val="en-GB"/>
        </w:rPr>
      </w:pPr>
      <w:r w:rsidRPr="000B0F05">
        <w:rPr>
          <w:rFonts w:ascii="DeutscheBank" w:hAnsi="DeutscheBank"/>
          <w:b/>
          <w:bCs/>
          <w:color w:val="000000" w:themeColor="text1"/>
          <w:sz w:val="16"/>
          <w:szCs w:val="16"/>
          <w:lang w:val="en-GB"/>
        </w:rPr>
        <w:t xml:space="preserve">Source: </w:t>
      </w:r>
      <w:r w:rsidRPr="000B0F05">
        <w:rPr>
          <w:rFonts w:ascii="DeutscheBank" w:hAnsi="DeutscheBank"/>
          <w:color w:val="000000" w:themeColor="text1"/>
          <w:sz w:val="16"/>
          <w:szCs w:val="16"/>
          <w:lang w:val="en-GB"/>
        </w:rPr>
        <w:t>Global Sentiment Survey on Europe 2026, B2B online survey. Base: all respondents, n = 1,200</w:t>
      </w:r>
    </w:p>
    <w:p w14:paraId="783F1251" w14:textId="77777777" w:rsidR="0008751D" w:rsidRPr="001E5405" w:rsidRDefault="0008751D" w:rsidP="0008751D">
      <w:pPr>
        <w:spacing w:after="180"/>
        <w:jc w:val="both"/>
        <w:rPr>
          <w:rFonts w:ascii="DeutscheBank" w:hAnsi="DeutscheBank"/>
          <w:lang w:val="en-GB"/>
        </w:rPr>
      </w:pPr>
    </w:p>
    <w:p w14:paraId="26AEAB88" w14:textId="35C171D5" w:rsidR="0008751D" w:rsidRPr="00BB676A" w:rsidRDefault="007B6D79" w:rsidP="00AA76E2">
      <w:pPr>
        <w:pStyle w:val="Heading2"/>
        <w:rPr>
          <w:rFonts w:ascii="DeutscheBank" w:hAnsi="DeutscheBank"/>
          <w:color w:val="000000" w:themeColor="text1"/>
          <w:sz w:val="20"/>
          <w:szCs w:val="20"/>
          <w:lang w:val="en-GB"/>
        </w:rPr>
      </w:pPr>
      <w:bookmarkStart w:id="32" w:name="_Toc239842196"/>
      <w:bookmarkStart w:id="33" w:name="_Toc239930534"/>
      <w:r>
        <w:rPr>
          <w:rFonts w:ascii="DeutscheBank" w:hAnsi="DeutscheBank"/>
          <w:color w:val="000000" w:themeColor="text1"/>
          <w:sz w:val="20"/>
          <w:szCs w:val="20"/>
          <w:lang w:val="en-GB"/>
        </w:rPr>
        <w:t xml:space="preserve">Strong potential as a </w:t>
      </w:r>
      <w:r w:rsidR="0008751D" w:rsidRPr="00BB676A">
        <w:rPr>
          <w:rFonts w:ascii="DeutscheBank" w:hAnsi="DeutscheBank"/>
          <w:color w:val="000000" w:themeColor="text1"/>
          <w:sz w:val="20"/>
          <w:szCs w:val="20"/>
          <w:lang w:val="en-GB"/>
        </w:rPr>
        <w:t>production</w:t>
      </w:r>
      <w:r>
        <w:rPr>
          <w:rFonts w:ascii="DeutscheBank" w:hAnsi="DeutscheBank"/>
          <w:color w:val="000000" w:themeColor="text1"/>
          <w:sz w:val="20"/>
          <w:szCs w:val="20"/>
          <w:lang w:val="en-GB"/>
        </w:rPr>
        <w:t xml:space="preserve"> location</w:t>
      </w:r>
      <w:bookmarkEnd w:id="32"/>
      <w:bookmarkEnd w:id="33"/>
    </w:p>
    <w:p w14:paraId="15F74EDC" w14:textId="6F129A53" w:rsidR="0008751D" w:rsidRPr="00BB676A" w:rsidRDefault="0008751D" w:rsidP="00AA76E2">
      <w:pPr>
        <w:spacing w:after="150" w:line="288" w:lineRule="auto"/>
        <w:rPr>
          <w:rFonts w:ascii="DeutscheBank" w:hAnsi="DeutscheBank"/>
          <w:sz w:val="20"/>
          <w:szCs w:val="20"/>
          <w:lang w:val="en-GB"/>
        </w:rPr>
      </w:pPr>
      <w:r w:rsidRPr="00BB676A">
        <w:rPr>
          <w:rFonts w:ascii="DeutscheBank" w:hAnsi="DeutscheBank"/>
          <w:sz w:val="20"/>
          <w:szCs w:val="20"/>
          <w:lang w:val="en-GB"/>
        </w:rPr>
        <w:t xml:space="preserve">Europe's appeal is not limited to demand. Although current investment is focused on the consumer market, </w:t>
      </w:r>
      <w:r w:rsidR="3C92F569" w:rsidRPr="5F675D6C">
        <w:rPr>
          <w:rFonts w:ascii="DeutscheBank" w:hAnsi="DeutscheBank"/>
          <w:sz w:val="20"/>
          <w:szCs w:val="20"/>
          <w:lang w:val="en-GB"/>
        </w:rPr>
        <w:t xml:space="preserve">more than </w:t>
      </w:r>
      <w:r w:rsidRPr="00BB676A">
        <w:rPr>
          <w:rFonts w:ascii="DeutscheBank" w:hAnsi="DeutscheBank"/>
          <w:sz w:val="20"/>
          <w:szCs w:val="20"/>
          <w:lang w:val="en-GB"/>
        </w:rPr>
        <w:t xml:space="preserve">nine in ten respondents (92 percent) also rate it an important location for production – for making goods, for research and development, and for supply chains – with 51 percent saying very important and 41 percent somewhat important. </w:t>
      </w:r>
      <w:r w:rsidRPr="5F675D6C">
        <w:rPr>
          <w:rFonts w:ascii="DeutscheBank" w:hAnsi="DeutscheBank"/>
          <w:sz w:val="20"/>
          <w:szCs w:val="20"/>
          <w:lang w:val="en-GB"/>
        </w:rPr>
        <w:t xml:space="preserve">That is </w:t>
      </w:r>
      <w:r w:rsidR="1D9B3F6E" w:rsidRPr="5F675D6C">
        <w:rPr>
          <w:rFonts w:ascii="DeutscheBank" w:hAnsi="DeutscheBank"/>
          <w:sz w:val="20"/>
          <w:szCs w:val="20"/>
          <w:lang w:val="en-GB"/>
        </w:rPr>
        <w:t>a strong endorsement of Europe’s industrial strength</w:t>
      </w:r>
      <w:r w:rsidR="46782822" w:rsidRPr="5F675D6C">
        <w:rPr>
          <w:rFonts w:ascii="DeutscheBank" w:hAnsi="DeutscheBank"/>
          <w:sz w:val="20"/>
          <w:szCs w:val="20"/>
          <w:lang w:val="en-GB"/>
        </w:rPr>
        <w:t>. P</w:t>
      </w:r>
      <w:r w:rsidRPr="00BB676A">
        <w:rPr>
          <w:rFonts w:ascii="DeutscheBank" w:hAnsi="DeutscheBank"/>
          <w:sz w:val="20"/>
          <w:szCs w:val="20"/>
          <w:lang w:val="en-GB"/>
        </w:rPr>
        <w:t>roduction is rated very important most often in the Middle East (68 percent).</w:t>
      </w:r>
    </w:p>
    <w:p w14:paraId="4B990837" w14:textId="396DA7AC" w:rsidR="00C00737" w:rsidRDefault="0008751D" w:rsidP="371D15A3">
      <w:pPr>
        <w:spacing w:after="150" w:line="288" w:lineRule="auto"/>
        <w:rPr>
          <w:rFonts w:ascii="DeutscheBank" w:hAnsi="DeutscheBank"/>
          <w:sz w:val="20"/>
          <w:szCs w:val="20"/>
          <w:lang w:val="en-GB"/>
        </w:rPr>
      </w:pPr>
      <w:r w:rsidRPr="041E5C19">
        <w:rPr>
          <w:rFonts w:ascii="DeutscheBank" w:hAnsi="DeutscheBank"/>
          <w:sz w:val="20"/>
          <w:szCs w:val="20"/>
          <w:lang w:val="en-GB"/>
        </w:rPr>
        <w:t>Today</w:t>
      </w:r>
      <w:r w:rsidR="4EE70A78" w:rsidRPr="041E5C19">
        <w:rPr>
          <w:rFonts w:ascii="DeutscheBank" w:hAnsi="DeutscheBank"/>
          <w:sz w:val="20"/>
          <w:szCs w:val="20"/>
          <w:lang w:val="en-GB"/>
        </w:rPr>
        <w:t>, however,</w:t>
      </w:r>
      <w:r w:rsidRPr="041E5C19">
        <w:rPr>
          <w:rFonts w:ascii="DeutscheBank" w:hAnsi="DeutscheBank"/>
          <w:sz w:val="20"/>
          <w:szCs w:val="20"/>
          <w:lang w:val="en-GB"/>
        </w:rPr>
        <w:t xml:space="preserve"> only 19 percent of </w:t>
      </w:r>
      <w:r w:rsidR="349F5930" w:rsidRPr="041E5C19">
        <w:rPr>
          <w:rFonts w:ascii="DeutscheBank" w:hAnsi="DeutscheBank"/>
          <w:sz w:val="20"/>
          <w:szCs w:val="20"/>
          <w:lang w:val="en-GB"/>
        </w:rPr>
        <w:t xml:space="preserve">respondents who </w:t>
      </w:r>
      <w:r w:rsidR="3973BFAB" w:rsidRPr="041E5C19">
        <w:rPr>
          <w:rFonts w:ascii="DeutscheBank" w:hAnsi="DeutscheBank"/>
          <w:sz w:val="20"/>
          <w:szCs w:val="20"/>
          <w:lang w:val="en-GB"/>
        </w:rPr>
        <w:t xml:space="preserve">are </w:t>
      </w:r>
      <w:r w:rsidR="349F5930" w:rsidRPr="041E5C19">
        <w:rPr>
          <w:rFonts w:ascii="DeutscheBank" w:hAnsi="DeutscheBank"/>
          <w:sz w:val="20"/>
          <w:szCs w:val="20"/>
          <w:lang w:val="en-GB"/>
        </w:rPr>
        <w:t>already</w:t>
      </w:r>
      <w:r w:rsidRPr="041E5C19">
        <w:rPr>
          <w:rFonts w:ascii="DeutscheBank" w:hAnsi="DeutscheBank"/>
          <w:sz w:val="20"/>
          <w:szCs w:val="20"/>
          <w:lang w:val="en-GB"/>
        </w:rPr>
        <w:t xml:space="preserve"> </w:t>
      </w:r>
      <w:r w:rsidR="50B9E1CE" w:rsidRPr="041E5C19">
        <w:rPr>
          <w:rFonts w:ascii="DeutscheBank" w:hAnsi="DeutscheBank"/>
          <w:sz w:val="20"/>
          <w:szCs w:val="20"/>
          <w:lang w:val="en-GB"/>
        </w:rPr>
        <w:t xml:space="preserve">active </w:t>
      </w:r>
      <w:r w:rsidR="7AECB349" w:rsidRPr="041E5C19">
        <w:rPr>
          <w:rFonts w:ascii="DeutscheBank" w:hAnsi="DeutscheBank"/>
          <w:sz w:val="20"/>
          <w:szCs w:val="20"/>
          <w:lang w:val="en-GB"/>
        </w:rPr>
        <w:t>in Europe</w:t>
      </w:r>
      <w:r w:rsidRPr="041E5C19">
        <w:rPr>
          <w:rFonts w:ascii="DeutscheBank" w:hAnsi="DeutscheBank"/>
          <w:sz w:val="20"/>
          <w:szCs w:val="20"/>
          <w:lang w:val="en-GB"/>
        </w:rPr>
        <w:t xml:space="preserve"> make goods </w:t>
      </w:r>
      <w:r w:rsidR="6EEFDDD6" w:rsidRPr="041E5C19">
        <w:rPr>
          <w:rFonts w:ascii="DeutscheBank" w:hAnsi="DeutscheBank"/>
          <w:sz w:val="20"/>
          <w:szCs w:val="20"/>
          <w:lang w:val="en-GB"/>
        </w:rPr>
        <w:t>there</w:t>
      </w:r>
      <w:r w:rsidRPr="041E5C19">
        <w:rPr>
          <w:rFonts w:ascii="DeutscheBank" w:hAnsi="DeutscheBank"/>
          <w:sz w:val="20"/>
          <w:szCs w:val="20"/>
          <w:lang w:val="en-GB"/>
        </w:rPr>
        <w:t xml:space="preserve">, so the strong </w:t>
      </w:r>
      <w:r w:rsidR="5C3AD809" w:rsidRPr="041E5C19">
        <w:rPr>
          <w:rFonts w:ascii="DeutscheBank" w:hAnsi="DeutscheBank"/>
          <w:sz w:val="20"/>
          <w:szCs w:val="20"/>
          <w:lang w:val="en-GB"/>
        </w:rPr>
        <w:t xml:space="preserve">commitment to Europe </w:t>
      </w:r>
      <w:r w:rsidRPr="041E5C19">
        <w:rPr>
          <w:rFonts w:ascii="DeutscheBank" w:hAnsi="DeutscheBank"/>
          <w:sz w:val="20"/>
          <w:szCs w:val="20"/>
          <w:lang w:val="en-GB"/>
        </w:rPr>
        <w:t>reflect</w:t>
      </w:r>
      <w:r w:rsidR="55E69D0C" w:rsidRPr="041E5C19">
        <w:rPr>
          <w:rFonts w:ascii="DeutscheBank" w:hAnsi="DeutscheBank"/>
          <w:sz w:val="20"/>
          <w:szCs w:val="20"/>
          <w:lang w:val="en-GB"/>
        </w:rPr>
        <w:t>s</w:t>
      </w:r>
      <w:r w:rsidRPr="041E5C19">
        <w:rPr>
          <w:rFonts w:ascii="DeutscheBank" w:hAnsi="DeutscheBank"/>
          <w:sz w:val="20"/>
          <w:szCs w:val="20"/>
          <w:lang w:val="en-GB"/>
        </w:rPr>
        <w:t xml:space="preserve"> intent more than current activity. </w:t>
      </w:r>
      <w:r w:rsidR="6F89556A" w:rsidRPr="041E5C19">
        <w:rPr>
          <w:rFonts w:ascii="DeutscheBank" w:hAnsi="DeutscheBank"/>
          <w:sz w:val="20"/>
          <w:szCs w:val="20"/>
          <w:lang w:val="en-GB"/>
        </w:rPr>
        <w:t xml:space="preserve">The </w:t>
      </w:r>
      <w:r w:rsidRPr="041E5C19">
        <w:rPr>
          <w:rFonts w:ascii="DeutscheBank" w:hAnsi="DeutscheBank"/>
          <w:sz w:val="20"/>
          <w:szCs w:val="20"/>
          <w:lang w:val="en-GB"/>
        </w:rPr>
        <w:t xml:space="preserve">stated interest still </w:t>
      </w:r>
      <w:proofErr w:type="gramStart"/>
      <w:r w:rsidRPr="041E5C19">
        <w:rPr>
          <w:rFonts w:ascii="DeutscheBank" w:hAnsi="DeutscheBank"/>
          <w:sz w:val="20"/>
          <w:szCs w:val="20"/>
          <w:lang w:val="en-GB"/>
        </w:rPr>
        <w:t>has to</w:t>
      </w:r>
      <w:proofErr w:type="gramEnd"/>
      <w:r w:rsidRPr="041E5C19">
        <w:rPr>
          <w:rFonts w:ascii="DeutscheBank" w:hAnsi="DeutscheBank"/>
          <w:sz w:val="20"/>
          <w:szCs w:val="20"/>
          <w:lang w:val="en-GB"/>
        </w:rPr>
        <w:t xml:space="preserve"> t</w:t>
      </w:r>
      <w:r w:rsidR="38560347" w:rsidRPr="041E5C19">
        <w:rPr>
          <w:rFonts w:ascii="DeutscheBank" w:hAnsi="DeutscheBank"/>
          <w:sz w:val="20"/>
          <w:szCs w:val="20"/>
          <w:lang w:val="en-GB"/>
        </w:rPr>
        <w:t xml:space="preserve">ranslate </w:t>
      </w:r>
      <w:r w:rsidRPr="041E5C19">
        <w:rPr>
          <w:rFonts w:ascii="DeutscheBank" w:hAnsi="DeutscheBank"/>
          <w:sz w:val="20"/>
          <w:szCs w:val="20"/>
          <w:lang w:val="en-GB"/>
        </w:rPr>
        <w:t xml:space="preserve">into </w:t>
      </w:r>
      <w:r w:rsidR="0E9E6209" w:rsidRPr="041E5C19">
        <w:rPr>
          <w:rFonts w:ascii="DeutscheBank" w:hAnsi="DeutscheBank"/>
          <w:sz w:val="20"/>
          <w:szCs w:val="20"/>
          <w:lang w:val="en-GB"/>
        </w:rPr>
        <w:t xml:space="preserve">concrete </w:t>
      </w:r>
      <w:r w:rsidRPr="041E5C19">
        <w:rPr>
          <w:rFonts w:ascii="DeutscheBank" w:hAnsi="DeutscheBank"/>
          <w:sz w:val="20"/>
          <w:szCs w:val="20"/>
          <w:lang w:val="en-GB"/>
        </w:rPr>
        <w:t>investment</w:t>
      </w:r>
      <w:r w:rsidR="14A69370" w:rsidRPr="041E5C19">
        <w:rPr>
          <w:rFonts w:ascii="DeutscheBank" w:hAnsi="DeutscheBank"/>
          <w:sz w:val="20"/>
          <w:szCs w:val="20"/>
          <w:lang w:val="en-GB"/>
        </w:rPr>
        <w:t>s</w:t>
      </w:r>
      <w:r w:rsidRPr="041E5C19">
        <w:rPr>
          <w:rFonts w:ascii="DeutscheBank" w:hAnsi="DeutscheBank"/>
          <w:sz w:val="20"/>
          <w:szCs w:val="20"/>
          <w:lang w:val="en-GB"/>
        </w:rPr>
        <w:t xml:space="preserve">. Even so, Europe is rated highly </w:t>
      </w:r>
      <w:r w:rsidR="1A312A2F" w:rsidRPr="041E5C19">
        <w:rPr>
          <w:rFonts w:ascii="DeutscheBank" w:hAnsi="DeutscheBank"/>
          <w:sz w:val="20"/>
          <w:szCs w:val="20"/>
          <w:lang w:val="en-GB"/>
        </w:rPr>
        <w:t xml:space="preserve">as a location for </w:t>
      </w:r>
      <w:r w:rsidRPr="041E5C19">
        <w:rPr>
          <w:rFonts w:ascii="DeutscheBank" w:hAnsi="DeutscheBank"/>
          <w:sz w:val="20"/>
          <w:szCs w:val="20"/>
          <w:lang w:val="en-GB"/>
        </w:rPr>
        <w:t xml:space="preserve">production </w:t>
      </w:r>
      <w:r w:rsidR="2F455C89" w:rsidRPr="041E5C19">
        <w:rPr>
          <w:rFonts w:ascii="DeutscheBank" w:hAnsi="DeutscheBank"/>
          <w:sz w:val="20"/>
          <w:szCs w:val="20"/>
          <w:lang w:val="en-GB"/>
        </w:rPr>
        <w:t>and as a consumer market</w:t>
      </w:r>
      <w:r w:rsidR="1BD8504B" w:rsidRPr="041E5C19">
        <w:rPr>
          <w:rFonts w:ascii="DeutscheBank" w:hAnsi="DeutscheBank"/>
          <w:sz w:val="20"/>
          <w:szCs w:val="20"/>
          <w:lang w:val="en-GB"/>
        </w:rPr>
        <w:t>.</w:t>
      </w:r>
    </w:p>
    <w:p w14:paraId="2D4AF6DD" w14:textId="0D5281A8" w:rsidR="0008751D" w:rsidRPr="00BB676A" w:rsidRDefault="00C00737" w:rsidP="007E5FBF">
      <w:pPr>
        <w:spacing w:after="160" w:line="24" w:lineRule="auto"/>
        <w:rPr>
          <w:rFonts w:ascii="DeutscheBank" w:hAnsi="DeutscheBank"/>
          <w:sz w:val="20"/>
          <w:szCs w:val="20"/>
          <w:lang w:val="en-GB"/>
        </w:rPr>
      </w:pPr>
      <w:r>
        <w:rPr>
          <w:rFonts w:ascii="DeutscheBank" w:hAnsi="DeutscheBank"/>
          <w:sz w:val="20"/>
          <w:szCs w:val="20"/>
          <w:lang w:val="en-GB"/>
        </w:rPr>
        <w:br w:type="page"/>
      </w:r>
    </w:p>
    <w:p w14:paraId="48DD0BF5" w14:textId="0B7BA608" w:rsidR="0008751D" w:rsidRPr="00BB676A" w:rsidRDefault="0008751D" w:rsidP="0008751D">
      <w:pPr>
        <w:pStyle w:val="Caption"/>
        <w:rPr>
          <w:rFonts w:ascii="DeutscheBank" w:eastAsia="Arial" w:hAnsi="DeutscheBank" w:cs="Arial"/>
          <w:lang w:val="en-GB" w:eastAsia="de-DE"/>
          <w14:ligatures w14:val="none"/>
        </w:rPr>
      </w:pPr>
      <w:r w:rsidRPr="5F675D6C">
        <w:rPr>
          <w:rFonts w:ascii="DeutscheBank" w:eastAsia="Arial" w:hAnsi="DeutscheBank" w:cs="Arial"/>
          <w:lang w:val="en-GB" w:eastAsia="de-DE"/>
          <w14:ligatures w14:val="none"/>
        </w:rPr>
        <w:lastRenderedPageBreak/>
        <w:t xml:space="preserve">Figure </w:t>
      </w:r>
      <w:r w:rsidR="20B5588D" w:rsidRPr="5F675D6C">
        <w:rPr>
          <w:rFonts w:ascii="DeutscheBank" w:eastAsia="Arial" w:hAnsi="DeutscheBank" w:cs="Arial"/>
          <w:lang w:val="en-GB" w:eastAsia="de-DE"/>
          <w14:ligatures w14:val="none"/>
        </w:rPr>
        <w:t>1</w:t>
      </w:r>
      <w:r w:rsidR="7F89827E" w:rsidRPr="47163E79">
        <w:rPr>
          <w:rFonts w:ascii="DeutscheBank" w:eastAsia="Arial" w:hAnsi="DeutscheBank" w:cs="Arial"/>
          <w:lang w:val="en-GB" w:eastAsia="de-DE"/>
        </w:rPr>
        <w:t>1</w:t>
      </w:r>
      <w:r w:rsidRPr="47163E79">
        <w:rPr>
          <w:rFonts w:ascii="DeutscheBank" w:eastAsia="Arial" w:hAnsi="DeutscheBank" w:cs="Arial"/>
          <w:lang w:val="en-GB" w:eastAsia="de-DE"/>
        </w:rPr>
        <w:t xml:space="preserve">: </w:t>
      </w:r>
      <w:r w:rsidR="4CD9E127" w:rsidRPr="5F675D6C">
        <w:rPr>
          <w:rFonts w:ascii="DeutscheBank" w:eastAsia="Arial" w:hAnsi="DeutscheBank" w:cs="Arial"/>
          <w:lang w:val="en-GB" w:eastAsia="de-DE"/>
        </w:rPr>
        <w:t xml:space="preserve">Share of companies that see </w:t>
      </w:r>
      <w:r w:rsidRPr="5F675D6C">
        <w:rPr>
          <w:rFonts w:ascii="DeutscheBank" w:eastAsia="Arial" w:hAnsi="DeutscheBank" w:cs="Arial"/>
          <w:lang w:val="en-GB" w:eastAsia="de-DE"/>
        </w:rPr>
        <w:t>Europe as a</w:t>
      </w:r>
      <w:r w:rsidR="6B0377CB" w:rsidRPr="5F675D6C">
        <w:rPr>
          <w:rFonts w:ascii="DeutscheBank" w:eastAsia="Arial" w:hAnsi="DeutscheBank" w:cs="Arial"/>
          <w:lang w:val="en-GB" w:eastAsia="de-DE"/>
        </w:rPr>
        <w:t>n important</w:t>
      </w:r>
      <w:r w:rsidRPr="5F675D6C">
        <w:rPr>
          <w:rFonts w:ascii="DeutscheBank" w:eastAsia="Arial" w:hAnsi="DeutscheBank" w:cs="Arial"/>
          <w:lang w:val="en-GB" w:eastAsia="de-DE"/>
        </w:rPr>
        <w:t xml:space="preserve"> production location</w:t>
      </w:r>
      <w:r w:rsidR="33840E56" w:rsidRPr="5F675D6C">
        <w:rPr>
          <w:rFonts w:ascii="DeutscheBank" w:eastAsia="Arial" w:hAnsi="DeutscheBank" w:cs="Arial"/>
          <w:lang w:val="en-GB" w:eastAsia="de-DE"/>
        </w:rPr>
        <w:t xml:space="preserve"> within the next five years</w:t>
      </w:r>
    </w:p>
    <w:p w14:paraId="63209802" w14:textId="7F66E56E" w:rsidR="0008751D" w:rsidRPr="000B0F05" w:rsidRDefault="0008751D" w:rsidP="0008751D">
      <w:pPr>
        <w:pStyle w:val="Copy"/>
        <w:rPr>
          <w:rFonts w:ascii="DeutscheBank" w:hAnsi="DeutscheBank"/>
          <w:lang w:val="en-GB"/>
        </w:rPr>
      </w:pPr>
      <w:r w:rsidRPr="5F675D6C">
        <w:rPr>
          <w:rFonts w:ascii="DeutscheBank" w:eastAsia="Arial" w:hAnsi="DeutscheBank" w:cs="Arial"/>
          <w:color w:val="222222"/>
          <w:lang w:val="en-GB" w:eastAsia="de-DE"/>
          <w14:ligatures w14:val="none"/>
        </w:rPr>
        <w:t>(</w:t>
      </w:r>
      <w:r w:rsidR="0C14645E" w:rsidRPr="3C04F8BB">
        <w:rPr>
          <w:rFonts w:ascii="DeutscheBank" w:eastAsia="Arial" w:hAnsi="DeutscheBank" w:cs="Arial"/>
          <w:color w:val="222222"/>
          <w:lang w:val="en-GB" w:eastAsia="de-DE"/>
        </w:rPr>
        <w:t>A</w:t>
      </w:r>
      <w:r w:rsidRPr="3C04F8BB" w:rsidDel="00A272D8">
        <w:rPr>
          <w:rFonts w:ascii="DeutscheBank" w:eastAsia="Arial" w:hAnsi="DeutscheBank" w:cs="Arial"/>
          <w:color w:val="222222"/>
          <w:lang w:val="en-GB" w:eastAsia="de-DE"/>
        </w:rPr>
        <w:t>ll respondents)</w:t>
      </w:r>
    </w:p>
    <w:p w14:paraId="53BC2321" w14:textId="75A07287" w:rsidR="0008751D" w:rsidRPr="001E5405" w:rsidRDefault="00DD1F57" w:rsidP="007E0A52">
      <w:pPr>
        <w:spacing w:after="150" w:line="288" w:lineRule="auto"/>
        <w:jc w:val="center"/>
        <w:rPr>
          <w:rFonts w:ascii="DeutscheBank" w:hAnsi="DeutscheBank"/>
        </w:rPr>
      </w:pPr>
      <w:r w:rsidRPr="00DD1F57">
        <w:rPr>
          <w:rFonts w:ascii="DeutscheBank" w:hAnsi="DeutscheBank"/>
          <w:noProof/>
        </w:rPr>
        <w:drawing>
          <wp:inline distT="0" distB="0" distL="0" distR="0" wp14:anchorId="093F12AD" wp14:editId="56CE2997">
            <wp:extent cx="3781223" cy="2171700"/>
            <wp:effectExtent l="0" t="0" r="0" b="0"/>
            <wp:docPr id="2099485540" name="Grafik 16" descr="Donut chart showing the importance of Europe as a production location. With dark blue representing “Very important” at 51% and medium blue “Somewhat important” at 41%. Light blue segments indicate “Not very important” at 7% and “Not important at all” at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485540" name="Grafik 16" descr="Donut chart showing the importance of Europe as a production location. With dark blue representing “Very important” at 51% and medium blue “Somewhat important” at 41%. Light blue segments indicate “Not very important” at 7% and “Not important at all” at 1%.&#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0813" cy="2188695"/>
                    </a:xfrm>
                    <a:prstGeom prst="rect">
                      <a:avLst/>
                    </a:prstGeom>
                    <a:noFill/>
                    <a:ln>
                      <a:noFill/>
                    </a:ln>
                  </pic:spPr>
                </pic:pic>
              </a:graphicData>
            </a:graphic>
          </wp:inline>
        </w:drawing>
      </w:r>
    </w:p>
    <w:p w14:paraId="53981570" w14:textId="7F537D74" w:rsidR="0008751D" w:rsidRPr="00404615" w:rsidRDefault="0008751D" w:rsidP="00404615">
      <w:pPr>
        <w:spacing w:after="180"/>
        <w:jc w:val="both"/>
        <w:rPr>
          <w:rFonts w:ascii="DeutscheBank" w:hAnsi="DeutscheBank"/>
          <w:lang w:val="en-GB"/>
        </w:rPr>
      </w:pPr>
      <w:r w:rsidRPr="000B0F05">
        <w:rPr>
          <w:rFonts w:ascii="DeutscheBank" w:hAnsi="DeutscheBank"/>
          <w:b/>
          <w:bCs/>
          <w:color w:val="000000" w:themeColor="text1"/>
          <w:sz w:val="16"/>
          <w:szCs w:val="16"/>
          <w:lang w:val="en-GB"/>
        </w:rPr>
        <w:t xml:space="preserve">Source: </w:t>
      </w:r>
      <w:r w:rsidRPr="000B0F05">
        <w:rPr>
          <w:rFonts w:ascii="DeutscheBank" w:hAnsi="DeutscheBank"/>
          <w:color w:val="000000" w:themeColor="text1"/>
          <w:sz w:val="16"/>
          <w:szCs w:val="16"/>
          <w:lang w:val="en-GB"/>
        </w:rPr>
        <w:t>Global Sentiment Survey on Europe 2026, B2B online survey. Base: all respondents, n = 1,200</w:t>
      </w:r>
    </w:p>
    <w:p w14:paraId="721F0997" w14:textId="503E92CD" w:rsidR="0008751D" w:rsidRPr="00BB676A" w:rsidRDefault="0008751D" w:rsidP="00AA76E2">
      <w:pPr>
        <w:pStyle w:val="Heading1"/>
        <w:pageBreakBefore/>
        <w:rPr>
          <w:rFonts w:ascii="DeutscheBank" w:hAnsi="DeutscheBank"/>
          <w:sz w:val="28"/>
          <w:szCs w:val="28"/>
          <w:lang w:val="en-GB"/>
        </w:rPr>
      </w:pPr>
      <w:bookmarkStart w:id="34" w:name="_Toc239930536"/>
      <w:bookmarkStart w:id="35" w:name="_Toc240474430"/>
      <w:r w:rsidRPr="00BB676A">
        <w:rPr>
          <w:rFonts w:ascii="DeutscheBank" w:hAnsi="DeutscheBank"/>
          <w:sz w:val="28"/>
          <w:szCs w:val="28"/>
          <w:lang w:val="en-GB"/>
        </w:rPr>
        <w:lastRenderedPageBreak/>
        <w:t>Germany leads the European field</w:t>
      </w:r>
      <w:bookmarkEnd w:id="34"/>
      <w:bookmarkEnd w:id="35"/>
    </w:p>
    <w:p w14:paraId="2BBFCAC9" w14:textId="6E521A31" w:rsidR="0008751D" w:rsidRPr="00BB676A" w:rsidRDefault="0008751D" w:rsidP="00AA76E2">
      <w:pPr>
        <w:spacing w:after="150" w:line="288" w:lineRule="auto"/>
        <w:rPr>
          <w:rFonts w:ascii="DeutscheBank" w:hAnsi="DeutscheBank"/>
          <w:sz w:val="20"/>
          <w:szCs w:val="20"/>
          <w:lang w:val="en-GB"/>
        </w:rPr>
      </w:pPr>
      <w:r w:rsidRPr="00BB676A">
        <w:rPr>
          <w:rFonts w:ascii="DeutscheBank" w:hAnsi="DeutscheBank"/>
          <w:sz w:val="20"/>
          <w:szCs w:val="20"/>
          <w:lang w:val="en-GB"/>
        </w:rPr>
        <w:t>Europe's appeal is broad-based, but investment intentions are not evenly distributed across the region. Among potential destinations, Germany emerges as the focal point for future investment, ranking ahead of both the United Kingdom and France. Rather than competing with the wider European story, Germany reinforces it: the country's strong position highlights where many investors see the greatest opportunities within Europe's overall attractiveness.</w:t>
      </w:r>
    </w:p>
    <w:p w14:paraId="77D34E44" w14:textId="77777777" w:rsidR="0008751D" w:rsidRPr="001E5405" w:rsidRDefault="0008751D" w:rsidP="0008751D">
      <w:pPr>
        <w:spacing w:after="150" w:line="288" w:lineRule="auto"/>
        <w:jc w:val="both"/>
        <w:rPr>
          <w:rFonts w:ascii="DeutscheBank" w:hAnsi="DeutscheBank"/>
          <w:lang w:val="en-GB"/>
        </w:rPr>
      </w:pPr>
    </w:p>
    <w:p w14:paraId="006E9153" w14:textId="77777777" w:rsidR="0008751D" w:rsidRPr="001E5405" w:rsidRDefault="0008751D" w:rsidP="0008751D">
      <w:pPr>
        <w:spacing w:before="40" w:after="90"/>
        <w:jc w:val="both"/>
        <w:rPr>
          <w:rFonts w:ascii="DeutscheBank" w:hAnsi="DeutscheBank"/>
        </w:rPr>
      </w:pPr>
      <w:r w:rsidRPr="001E5405">
        <w:rPr>
          <w:rFonts w:ascii="DeutscheBank" w:hAnsi="DeutscheBank"/>
          <w:b/>
          <w:bCs/>
          <w:caps/>
          <w:color w:val="5A6472"/>
          <w:sz w:val="18"/>
          <w:szCs w:val="18"/>
        </w:rPr>
        <w:t>At a glance</w:t>
      </w:r>
    </w:p>
    <w:tbl>
      <w:tblPr>
        <w:tblW w:w="9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69"/>
        <w:gridCol w:w="2977"/>
        <w:gridCol w:w="3118"/>
      </w:tblGrid>
      <w:tr w:rsidR="0008751D" w:rsidRPr="00C66C08" w14:paraId="405E1ECC" w14:textId="77777777" w:rsidTr="001E3B68">
        <w:tc>
          <w:tcPr>
            <w:tcW w:w="296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2CC9D221" w14:textId="77777777" w:rsidR="0008751D" w:rsidRPr="001E5405" w:rsidRDefault="0008751D" w:rsidP="009C2716">
            <w:pPr>
              <w:spacing w:after="40"/>
              <w:jc w:val="both"/>
              <w:rPr>
                <w:rFonts w:ascii="DeutscheBank" w:hAnsi="DeutscheBank"/>
                <w:lang w:val="en-GB"/>
              </w:rPr>
            </w:pPr>
            <w:r w:rsidRPr="001E5405">
              <w:rPr>
                <w:rFonts w:ascii="DeutscheBank" w:hAnsi="DeutscheBank"/>
                <w:b/>
                <w:bCs/>
                <w:color w:val="0069B1"/>
                <w:sz w:val="30"/>
                <w:szCs w:val="30"/>
                <w:lang w:val="en-GB"/>
              </w:rPr>
              <w:t>56%</w:t>
            </w:r>
          </w:p>
          <w:p w14:paraId="558EFF93" w14:textId="77777777" w:rsidR="0008751D" w:rsidRPr="001E5405" w:rsidRDefault="0008751D" w:rsidP="009C2716">
            <w:pPr>
              <w:jc w:val="both"/>
              <w:rPr>
                <w:rFonts w:ascii="DeutscheBank" w:hAnsi="DeutscheBank"/>
                <w:lang w:val="en-GB"/>
              </w:rPr>
            </w:pPr>
            <w:r w:rsidRPr="001E5405">
              <w:rPr>
                <w:rFonts w:ascii="DeutscheBank" w:hAnsi="DeutscheBank"/>
                <w:color w:val="5A6472"/>
                <w:sz w:val="16"/>
                <w:szCs w:val="16"/>
                <w:lang w:val="en-GB"/>
              </w:rPr>
              <w:t>include Germany in their Top 3 markets</w:t>
            </w:r>
          </w:p>
        </w:tc>
        <w:tc>
          <w:tcPr>
            <w:tcW w:w="297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69EF8999" w14:textId="77777777" w:rsidR="0008751D" w:rsidRPr="001E5405" w:rsidRDefault="0008751D" w:rsidP="009C2716">
            <w:pPr>
              <w:spacing w:after="40"/>
              <w:jc w:val="both"/>
              <w:rPr>
                <w:rFonts w:ascii="DeutscheBank" w:hAnsi="DeutscheBank"/>
                <w:lang w:val="en-GB"/>
              </w:rPr>
            </w:pPr>
            <w:r w:rsidRPr="001E5405">
              <w:rPr>
                <w:rFonts w:ascii="DeutscheBank" w:hAnsi="DeutscheBank"/>
                <w:b/>
                <w:bCs/>
                <w:color w:val="0069B1"/>
                <w:sz w:val="30"/>
                <w:szCs w:val="30"/>
                <w:lang w:val="en-GB"/>
              </w:rPr>
              <w:t>29%</w:t>
            </w:r>
          </w:p>
          <w:p w14:paraId="257E96FD" w14:textId="77777777" w:rsidR="0008751D" w:rsidRPr="001E5405" w:rsidRDefault="0008751D" w:rsidP="009C2716">
            <w:pPr>
              <w:jc w:val="both"/>
              <w:rPr>
                <w:rFonts w:ascii="DeutscheBank" w:hAnsi="DeutscheBank"/>
                <w:lang w:val="en-GB"/>
              </w:rPr>
            </w:pPr>
            <w:r w:rsidRPr="001E5405">
              <w:rPr>
                <w:rFonts w:ascii="DeutscheBank" w:hAnsi="DeutscheBank"/>
                <w:color w:val="5A6472"/>
                <w:sz w:val="16"/>
                <w:szCs w:val="16"/>
                <w:lang w:val="en-GB"/>
              </w:rPr>
              <w:t>rank Germany as their first choice</w:t>
            </w:r>
          </w:p>
        </w:tc>
        <w:tc>
          <w:tcPr>
            <w:tcW w:w="311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04732AAD" w14:textId="77777777" w:rsidR="0008751D" w:rsidRPr="001E5405" w:rsidRDefault="0008751D" w:rsidP="009C2716">
            <w:pPr>
              <w:spacing w:after="40"/>
              <w:jc w:val="both"/>
              <w:rPr>
                <w:rFonts w:ascii="DeutscheBank" w:hAnsi="DeutscheBank"/>
                <w:lang w:val="en-GB"/>
              </w:rPr>
            </w:pPr>
            <w:r w:rsidRPr="001E5405">
              <w:rPr>
                <w:rFonts w:ascii="DeutscheBank" w:hAnsi="DeutscheBank"/>
                <w:b/>
                <w:bCs/>
                <w:color w:val="0069B1"/>
                <w:sz w:val="30"/>
                <w:szCs w:val="30"/>
                <w:lang w:val="en-GB"/>
              </w:rPr>
              <w:t>3</w:t>
            </w:r>
          </w:p>
          <w:p w14:paraId="5138DC41" w14:textId="77777777" w:rsidR="0008751D" w:rsidRPr="001E5405" w:rsidRDefault="0008751D" w:rsidP="009C2716">
            <w:pPr>
              <w:jc w:val="both"/>
              <w:rPr>
                <w:rFonts w:ascii="DeutscheBank" w:hAnsi="DeutscheBank"/>
                <w:lang w:val="en-GB"/>
              </w:rPr>
            </w:pPr>
            <w:r w:rsidRPr="001E5405">
              <w:rPr>
                <w:rFonts w:ascii="DeutscheBank" w:hAnsi="DeutscheBank"/>
                <w:color w:val="5A6472"/>
                <w:sz w:val="16"/>
                <w:szCs w:val="16"/>
                <w:lang w:val="en-GB"/>
              </w:rPr>
              <w:t>leading markets: Germany, the UK and France</w:t>
            </w:r>
          </w:p>
        </w:tc>
      </w:tr>
    </w:tbl>
    <w:p w14:paraId="75D05491" w14:textId="77777777" w:rsidR="0008751D" w:rsidRPr="001E5405" w:rsidRDefault="0008751D" w:rsidP="0008751D">
      <w:pPr>
        <w:spacing w:after="80"/>
        <w:jc w:val="both"/>
        <w:rPr>
          <w:rFonts w:ascii="DeutscheBank" w:hAnsi="DeutscheBank"/>
          <w:lang w:val="en-GB"/>
        </w:rPr>
      </w:pPr>
    </w:p>
    <w:p w14:paraId="5449446C" w14:textId="113EEE38" w:rsidR="0008751D" w:rsidRPr="00BB676A" w:rsidRDefault="0008751D" w:rsidP="00AA76E2">
      <w:pPr>
        <w:pStyle w:val="Heading2"/>
        <w:rPr>
          <w:rFonts w:ascii="DeutscheBank" w:hAnsi="DeutscheBank"/>
          <w:color w:val="000000" w:themeColor="text1"/>
          <w:sz w:val="20"/>
          <w:szCs w:val="20"/>
          <w:lang w:val="en-GB"/>
        </w:rPr>
      </w:pPr>
      <w:bookmarkStart w:id="36" w:name="_Toc239842199"/>
      <w:bookmarkStart w:id="37" w:name="_Toc239930537"/>
      <w:r w:rsidRPr="00BB676A">
        <w:rPr>
          <w:rFonts w:ascii="DeutscheBank" w:hAnsi="DeutscheBank"/>
          <w:color w:val="000000" w:themeColor="text1"/>
          <w:sz w:val="20"/>
          <w:szCs w:val="20"/>
          <w:lang w:val="en-GB"/>
        </w:rPr>
        <w:t xml:space="preserve">The leading planned </w:t>
      </w:r>
      <w:r w:rsidR="00814446">
        <w:rPr>
          <w:rFonts w:ascii="DeutscheBank" w:hAnsi="DeutscheBank"/>
          <w:color w:val="000000" w:themeColor="text1"/>
          <w:sz w:val="20"/>
          <w:szCs w:val="20"/>
          <w:lang w:val="en-GB"/>
        </w:rPr>
        <w:t xml:space="preserve">investment </w:t>
      </w:r>
      <w:r w:rsidRPr="00BB676A">
        <w:rPr>
          <w:rFonts w:ascii="DeutscheBank" w:hAnsi="DeutscheBank"/>
          <w:color w:val="000000" w:themeColor="text1"/>
          <w:sz w:val="20"/>
          <w:szCs w:val="20"/>
          <w:lang w:val="en-GB"/>
        </w:rPr>
        <w:t>destination</w:t>
      </w:r>
      <w:bookmarkEnd w:id="36"/>
      <w:bookmarkEnd w:id="37"/>
    </w:p>
    <w:p w14:paraId="19D2C5EB" w14:textId="7ABA0115" w:rsidR="0008751D" w:rsidRPr="00BB676A" w:rsidRDefault="0008751D" w:rsidP="00AA76E2">
      <w:pPr>
        <w:spacing w:after="150" w:line="288" w:lineRule="auto"/>
        <w:rPr>
          <w:rFonts w:ascii="DeutscheBank" w:hAnsi="DeutscheBank"/>
          <w:sz w:val="20"/>
          <w:szCs w:val="20"/>
          <w:lang w:val="en-GB"/>
        </w:rPr>
      </w:pPr>
      <w:r w:rsidRPr="00BB676A">
        <w:rPr>
          <w:rFonts w:ascii="DeutscheBank" w:hAnsi="DeutscheBank"/>
          <w:sz w:val="20"/>
          <w:szCs w:val="20"/>
          <w:lang w:val="en-GB"/>
        </w:rPr>
        <w:t>Germany is the anchor of European investment intent. Among companies with firm investment plans, 56 percent include Germany in their top three target markets, against 47 percent for the United Kingdom and 35 percent for France. Germany is also the most common single first choice (29 percent), ahead of the United Kingdom (23 percent) and France (9 percent).</w:t>
      </w:r>
    </w:p>
    <w:p w14:paraId="312150CF" w14:textId="52F8CF51" w:rsidR="00B00DF0" w:rsidRPr="00AC08A7" w:rsidRDefault="0008751D" w:rsidP="00AA76E2">
      <w:pPr>
        <w:spacing w:after="150" w:line="288" w:lineRule="auto"/>
        <w:rPr>
          <w:rFonts w:ascii="DeutscheBank" w:hAnsi="DeutscheBank"/>
          <w:sz w:val="20"/>
          <w:szCs w:val="20"/>
          <w:lang w:val="en-GB"/>
        </w:rPr>
      </w:pPr>
      <w:r w:rsidRPr="007E5BC9">
        <w:rPr>
          <w:rFonts w:asciiTheme="minorHAnsi" w:eastAsiaTheme="minorEastAsia" w:hAnsiTheme="minorHAnsi" w:cstheme="minorBidi"/>
          <w:sz w:val="20"/>
          <w:szCs w:val="20"/>
          <w:lang w:val="en-GB"/>
        </w:rPr>
        <w:t xml:space="preserve">Below the leading three, a clear second tier forms. The Netherlands, Italy and Spain cluster at around 20 to 22 percent </w:t>
      </w:r>
      <w:proofErr w:type="gramStart"/>
      <w:r w:rsidRPr="007E5BC9">
        <w:rPr>
          <w:rFonts w:asciiTheme="minorHAnsi" w:eastAsiaTheme="minorEastAsia" w:hAnsiTheme="minorHAnsi" w:cstheme="minorBidi"/>
          <w:sz w:val="20"/>
          <w:szCs w:val="20"/>
          <w:lang w:val="en-GB"/>
        </w:rPr>
        <w:t>Top-3</w:t>
      </w:r>
      <w:proofErr w:type="gramEnd"/>
      <w:r w:rsidRPr="007E5BC9">
        <w:rPr>
          <w:rFonts w:asciiTheme="minorHAnsi" w:eastAsiaTheme="minorEastAsia" w:hAnsiTheme="minorHAnsi" w:cstheme="minorBidi"/>
          <w:sz w:val="20"/>
          <w:szCs w:val="20"/>
          <w:lang w:val="en-GB"/>
        </w:rPr>
        <w:t xml:space="preserve"> consideration, with Switzerland, Poland and Portugal further back. </w:t>
      </w:r>
      <w:r w:rsidR="00B00DF0" w:rsidRPr="007E5BC9">
        <w:rPr>
          <w:rFonts w:asciiTheme="minorHAnsi" w:eastAsiaTheme="minorEastAsia" w:hAnsiTheme="minorHAnsi" w:cstheme="minorBidi"/>
          <w:sz w:val="20"/>
          <w:szCs w:val="20"/>
          <w:lang w:val="en-GB"/>
        </w:rPr>
        <w:t xml:space="preserve">While investors see opportunities across Europe, Germany, the United Kingdom and France remain the three markets </w:t>
      </w:r>
      <w:r w:rsidR="00522C29" w:rsidRPr="007E5BC9">
        <w:rPr>
          <w:rFonts w:asciiTheme="minorHAnsi" w:eastAsiaTheme="minorEastAsia" w:hAnsiTheme="minorHAnsi" w:cstheme="minorBidi"/>
          <w:sz w:val="20"/>
          <w:szCs w:val="20"/>
          <w:lang w:val="en-GB"/>
        </w:rPr>
        <w:t xml:space="preserve">at the centre of </w:t>
      </w:r>
      <w:r w:rsidR="00BC3381" w:rsidRPr="007E5BC9">
        <w:rPr>
          <w:rFonts w:asciiTheme="minorHAnsi" w:eastAsiaTheme="minorEastAsia" w:hAnsiTheme="minorHAnsi" w:cstheme="minorBidi"/>
          <w:sz w:val="20"/>
          <w:szCs w:val="20"/>
          <w:lang w:val="en-GB"/>
        </w:rPr>
        <w:t xml:space="preserve">most </w:t>
      </w:r>
      <w:r w:rsidR="00B00DF0" w:rsidRPr="007E5BC9">
        <w:rPr>
          <w:rFonts w:asciiTheme="minorHAnsi" w:eastAsiaTheme="minorEastAsia" w:hAnsiTheme="minorHAnsi" w:cstheme="minorBidi"/>
          <w:sz w:val="20"/>
          <w:szCs w:val="20"/>
          <w:lang w:val="en-GB"/>
        </w:rPr>
        <w:t>investor</w:t>
      </w:r>
      <w:r w:rsidR="00BC3381" w:rsidRPr="007E5BC9">
        <w:rPr>
          <w:rFonts w:asciiTheme="minorHAnsi" w:eastAsiaTheme="minorEastAsia" w:hAnsiTheme="minorHAnsi" w:cstheme="minorBidi"/>
          <w:sz w:val="20"/>
          <w:szCs w:val="20"/>
          <w:lang w:val="en-GB"/>
        </w:rPr>
        <w:t xml:space="preserve">s’ </w:t>
      </w:r>
      <w:r w:rsidR="00B00DF0" w:rsidRPr="007E5BC9">
        <w:rPr>
          <w:rFonts w:asciiTheme="minorHAnsi" w:eastAsiaTheme="minorEastAsia" w:hAnsiTheme="minorHAnsi" w:cstheme="minorBidi"/>
          <w:sz w:val="20"/>
          <w:szCs w:val="20"/>
          <w:lang w:val="en-GB"/>
        </w:rPr>
        <w:t>shortlist</w:t>
      </w:r>
      <w:r w:rsidR="00BC3381" w:rsidRPr="007E5BC9">
        <w:rPr>
          <w:rFonts w:asciiTheme="minorHAnsi" w:eastAsiaTheme="minorEastAsia" w:hAnsiTheme="minorHAnsi" w:cstheme="minorBidi"/>
          <w:sz w:val="20"/>
          <w:szCs w:val="20"/>
          <w:lang w:val="en-GB"/>
        </w:rPr>
        <w:t>s</w:t>
      </w:r>
      <w:r w:rsidR="00B00DF0" w:rsidRPr="007E5BC9">
        <w:rPr>
          <w:rFonts w:asciiTheme="minorHAnsi" w:eastAsiaTheme="minorEastAsia" w:hAnsiTheme="minorHAnsi" w:cstheme="minorBidi"/>
          <w:sz w:val="20"/>
          <w:szCs w:val="20"/>
          <w:lang w:val="en-GB"/>
        </w:rPr>
        <w:t>.</w:t>
      </w:r>
    </w:p>
    <w:p w14:paraId="7683D6E3" w14:textId="77777777" w:rsidR="0008751D" w:rsidRPr="000B0F05" w:rsidRDefault="0008751D" w:rsidP="0008751D">
      <w:pPr>
        <w:pStyle w:val="Caption"/>
        <w:rPr>
          <w:rFonts w:ascii="DeutscheBank" w:eastAsia="Arial" w:hAnsi="DeutscheBank" w:cs="Arial"/>
          <w:bCs/>
          <w:iCs w:val="0"/>
          <w:szCs w:val="20"/>
          <w:lang w:val="en-GB" w:eastAsia="de-DE"/>
          <w14:ligatures w14:val="none"/>
        </w:rPr>
      </w:pPr>
      <w:r w:rsidRPr="000B0F05">
        <w:rPr>
          <w:rFonts w:ascii="DeutscheBank" w:eastAsia="Arial" w:hAnsi="DeutscheBank" w:cs="Arial"/>
          <w:bCs/>
          <w:iCs w:val="0"/>
          <w:szCs w:val="20"/>
          <w:lang w:val="en-GB" w:eastAsia="de-DE"/>
          <w14:ligatures w14:val="none"/>
        </w:rPr>
        <w:t xml:space="preserve">Figure </w:t>
      </w:r>
      <w:r>
        <w:rPr>
          <w:rFonts w:ascii="DeutscheBank" w:eastAsia="Arial" w:hAnsi="DeutscheBank" w:cs="Arial"/>
          <w:bCs/>
          <w:iCs w:val="0"/>
          <w:szCs w:val="20"/>
          <w:lang w:val="en-GB" w:eastAsia="de-DE"/>
          <w14:ligatures w14:val="none"/>
        </w:rPr>
        <w:t>12</w:t>
      </w:r>
      <w:r w:rsidRPr="000B0F05">
        <w:rPr>
          <w:rFonts w:ascii="DeutscheBank" w:eastAsia="Arial" w:hAnsi="DeutscheBank" w:cs="Arial"/>
          <w:bCs/>
          <w:iCs w:val="0"/>
          <w:szCs w:val="20"/>
          <w:lang w:val="en-GB" w:eastAsia="de-DE"/>
          <w14:ligatures w14:val="none"/>
        </w:rPr>
        <w:t xml:space="preserve">: </w:t>
      </w:r>
      <w:r>
        <w:rPr>
          <w:rFonts w:ascii="DeutscheBank" w:eastAsia="Arial" w:hAnsi="DeutscheBank" w:cs="Arial"/>
          <w:bCs/>
          <w:iCs w:val="0"/>
          <w:szCs w:val="20"/>
          <w:lang w:val="en-GB" w:eastAsia="de-DE"/>
          <w14:ligatures w14:val="none"/>
        </w:rPr>
        <w:t>Planned investment countries in Europe</w:t>
      </w:r>
    </w:p>
    <w:p w14:paraId="3AD7BCE6" w14:textId="77777777" w:rsidR="0008751D" w:rsidRPr="00D55D08" w:rsidRDefault="0008751D" w:rsidP="0008751D">
      <w:pPr>
        <w:pStyle w:val="Copy"/>
        <w:rPr>
          <w:rFonts w:ascii="DeutscheBank" w:hAnsi="DeutscheBank"/>
          <w:szCs w:val="20"/>
          <w:lang w:val="en-GB"/>
        </w:rPr>
      </w:pPr>
      <w:r>
        <w:rPr>
          <w:rFonts w:ascii="DeutscheBank" w:hAnsi="DeutscheBank"/>
          <w:szCs w:val="20"/>
          <w:lang w:val="en-GB"/>
        </w:rPr>
        <w:t>Country named in their Top 3 or as first choice</w:t>
      </w:r>
      <w:r w:rsidRPr="000B0F05">
        <w:rPr>
          <w:rFonts w:ascii="DeutscheBank" w:hAnsi="DeutscheBank"/>
          <w:szCs w:val="20"/>
          <w:lang w:val="en-GB"/>
        </w:rPr>
        <w:t xml:space="preserve"> </w:t>
      </w:r>
      <w:r>
        <w:rPr>
          <w:rFonts w:ascii="DeutscheBank" w:eastAsia="Arial" w:hAnsi="DeutscheBank" w:cs="Arial"/>
          <w:color w:val="222222"/>
          <w:szCs w:val="20"/>
          <w:lang w:val="en-GB" w:eastAsia="de-DE"/>
          <w14:ligatures w14:val="none"/>
        </w:rPr>
        <w:t>(all respondents)</w:t>
      </w:r>
    </w:p>
    <w:p w14:paraId="017695E8" w14:textId="77777777" w:rsidR="0008751D" w:rsidRPr="001E5405" w:rsidRDefault="0008751D" w:rsidP="0008751D">
      <w:pPr>
        <w:keepNext/>
        <w:spacing w:before="140" w:after="40"/>
        <w:jc w:val="center"/>
        <w:rPr>
          <w:rFonts w:ascii="DeutscheBank" w:hAnsi="DeutscheBank"/>
        </w:rPr>
      </w:pPr>
      <w:r w:rsidRPr="001E5405">
        <w:rPr>
          <w:rFonts w:ascii="DeutscheBank" w:hAnsi="DeutscheBank"/>
          <w:noProof/>
        </w:rPr>
        <w:drawing>
          <wp:inline distT="0" distB="0" distL="0" distR="0" wp14:anchorId="7E3F560D" wp14:editId="1E66FB1C">
            <wp:extent cx="3784600" cy="2576747"/>
            <wp:effectExtent l="0" t="0" r="6350" b="0"/>
            <wp:docPr id="2040811932" name="fig16" descr="Graphic shows the planned top 3 choice of investment countries in Europe. Horizontal bar chart compares country rankings, showing percentages for combined Rank 1+2+3 (dark blue) and Rank 1 (light blue). Germany leads at 56% combined and 29% Rank 1, United Kingdom follows at 47% and 23%, while Luxembourg records lowest values at 5% a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1932" name="fig16" descr="Graphic shows the planned top 3 choice of investment countries in Europe. Horizontal bar chart compares country rankings, showing percentages for combined Rank 1+2+3 (dark blue) and Rank 1 (light blue). Germany leads at 56% combined and 29% Rank 1, United Kingdom follows at 47% and 23%, while Luxembourg records lowest values at 5% and 2%."/>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3831954" cy="2608988"/>
                    </a:xfrm>
                    <a:prstGeom prst="rect">
                      <a:avLst/>
                    </a:prstGeom>
                  </pic:spPr>
                </pic:pic>
              </a:graphicData>
            </a:graphic>
          </wp:inline>
        </w:drawing>
      </w:r>
    </w:p>
    <w:p w14:paraId="3D618A4C" w14:textId="77777777" w:rsidR="0008751D" w:rsidRDefault="0008751D" w:rsidP="0008751D">
      <w:pPr>
        <w:spacing w:after="180"/>
        <w:jc w:val="both"/>
        <w:rPr>
          <w:rFonts w:ascii="DeutscheBank" w:hAnsi="DeutscheBank"/>
          <w:color w:val="000000" w:themeColor="text1"/>
          <w:sz w:val="16"/>
          <w:szCs w:val="16"/>
          <w:lang w:val="en-GB"/>
        </w:rPr>
      </w:pPr>
      <w:r w:rsidRPr="000B0F05">
        <w:rPr>
          <w:rFonts w:ascii="DeutscheBank" w:hAnsi="DeutscheBank"/>
          <w:b/>
          <w:bCs/>
          <w:color w:val="000000" w:themeColor="text1"/>
          <w:sz w:val="16"/>
          <w:szCs w:val="16"/>
          <w:lang w:val="en-GB"/>
        </w:rPr>
        <w:t xml:space="preserve">Source: </w:t>
      </w:r>
      <w:r w:rsidRPr="000B0F05">
        <w:rPr>
          <w:rFonts w:ascii="DeutscheBank" w:hAnsi="DeutscheBank"/>
          <w:color w:val="000000" w:themeColor="text1"/>
          <w:sz w:val="16"/>
          <w:szCs w:val="16"/>
          <w:lang w:val="en-GB"/>
        </w:rPr>
        <w:t>Global Sentiment Survey on Europe 2026, B2B online survey. Base: all respondents, n = 1,200</w:t>
      </w:r>
    </w:p>
    <w:p w14:paraId="4D412273" w14:textId="147E8927" w:rsidR="00C00737" w:rsidRDefault="00C00737">
      <w:pPr>
        <w:spacing w:after="160" w:line="24" w:lineRule="auto"/>
        <w:rPr>
          <w:rFonts w:ascii="DeutscheBank" w:hAnsi="DeutscheBank"/>
          <w:lang w:val="en-GB"/>
        </w:rPr>
      </w:pPr>
      <w:r>
        <w:rPr>
          <w:rFonts w:ascii="DeutscheBank" w:hAnsi="DeutscheBank"/>
          <w:lang w:val="en-GB"/>
        </w:rPr>
        <w:br w:type="page"/>
      </w:r>
    </w:p>
    <w:p w14:paraId="6203551C" w14:textId="2FA7901A" w:rsidR="0008751D" w:rsidRPr="00BB676A" w:rsidRDefault="00814446" w:rsidP="00AA76E2">
      <w:pPr>
        <w:pStyle w:val="Heading2"/>
        <w:rPr>
          <w:rFonts w:ascii="DeutscheBank" w:hAnsi="DeutscheBank"/>
          <w:color w:val="000000" w:themeColor="text1"/>
          <w:sz w:val="20"/>
          <w:szCs w:val="20"/>
          <w:lang w:val="en-GB"/>
        </w:rPr>
      </w:pPr>
      <w:bookmarkStart w:id="38" w:name="_Toc239717602"/>
      <w:bookmarkStart w:id="39" w:name="_Toc239842200"/>
      <w:bookmarkStart w:id="40" w:name="_Toc239930538"/>
      <w:r>
        <w:rPr>
          <w:rFonts w:ascii="DeutscheBank" w:hAnsi="DeutscheBank"/>
          <w:color w:val="000000" w:themeColor="text1"/>
          <w:sz w:val="20"/>
          <w:szCs w:val="20"/>
          <w:lang w:val="en-GB"/>
        </w:rPr>
        <w:lastRenderedPageBreak/>
        <w:t>Strength through breadth</w:t>
      </w:r>
      <w:bookmarkEnd w:id="38"/>
      <w:bookmarkEnd w:id="39"/>
      <w:bookmarkEnd w:id="40"/>
    </w:p>
    <w:p w14:paraId="34E4EDC3" w14:textId="4D6E0720" w:rsidR="0008751D" w:rsidRPr="00BB676A" w:rsidRDefault="0008751D" w:rsidP="00AA76E2">
      <w:pPr>
        <w:spacing w:after="150" w:line="288" w:lineRule="auto"/>
        <w:rPr>
          <w:rFonts w:ascii="DeutscheBank" w:hAnsi="DeutscheBank"/>
          <w:sz w:val="20"/>
          <w:szCs w:val="20"/>
          <w:lang w:val="en-GB"/>
        </w:rPr>
      </w:pPr>
      <w:r w:rsidRPr="041E5C19">
        <w:rPr>
          <w:rFonts w:ascii="DeutscheBank" w:hAnsi="DeutscheBank"/>
          <w:sz w:val="20"/>
          <w:szCs w:val="20"/>
          <w:lang w:val="en-GB"/>
        </w:rPr>
        <w:t>Germany's advantage rests on breadth rather than on any single decisive strength. It stands, above all, for structural substance: it leads on infrastructure and logistics (59 percent), on innovation and AI (58 percent), and on both industrial capability and skilled workforce (56 percent each</w:t>
      </w:r>
      <w:r w:rsidR="20B5588D" w:rsidRPr="041E5C19">
        <w:rPr>
          <w:rFonts w:ascii="DeutscheBank" w:hAnsi="DeutscheBank"/>
          <w:sz w:val="20"/>
          <w:szCs w:val="20"/>
          <w:lang w:val="en-GB"/>
        </w:rPr>
        <w:t>)</w:t>
      </w:r>
      <w:r w:rsidR="312E9808" w:rsidRPr="041E5C19">
        <w:rPr>
          <w:rFonts w:ascii="DeutscheBank" w:hAnsi="DeutscheBank"/>
          <w:sz w:val="20"/>
          <w:szCs w:val="20"/>
          <w:lang w:val="en-GB"/>
        </w:rPr>
        <w:t>. All other scores are</w:t>
      </w:r>
      <w:r w:rsidR="2B59F3B4" w:rsidRPr="041E5C19">
        <w:rPr>
          <w:rFonts w:ascii="DeutscheBank" w:hAnsi="DeutscheBank"/>
          <w:sz w:val="20"/>
          <w:szCs w:val="20"/>
          <w:lang w:val="en-GB"/>
        </w:rPr>
        <w:t xml:space="preserve"> between </w:t>
      </w:r>
      <w:r w:rsidR="20B5588D" w:rsidRPr="041E5C19">
        <w:rPr>
          <w:rFonts w:ascii="DeutscheBank" w:hAnsi="DeutscheBank"/>
          <w:sz w:val="20"/>
          <w:szCs w:val="20"/>
          <w:lang w:val="en-GB"/>
        </w:rPr>
        <w:t xml:space="preserve">48 </w:t>
      </w:r>
      <w:r w:rsidR="2E3C4567" w:rsidRPr="041E5C19">
        <w:rPr>
          <w:rFonts w:ascii="DeutscheBank" w:hAnsi="DeutscheBank"/>
          <w:sz w:val="20"/>
          <w:szCs w:val="20"/>
          <w:lang w:val="en-GB"/>
        </w:rPr>
        <w:t>and</w:t>
      </w:r>
      <w:r w:rsidRPr="041E5C19">
        <w:rPr>
          <w:rFonts w:ascii="DeutscheBank" w:hAnsi="DeutscheBank"/>
          <w:sz w:val="20"/>
          <w:szCs w:val="20"/>
          <w:lang w:val="en-GB"/>
        </w:rPr>
        <w:t xml:space="preserve"> 59 percent. </w:t>
      </w:r>
    </w:p>
    <w:p w14:paraId="138AFE24" w14:textId="030D0063" w:rsidR="0008751D" w:rsidRPr="000B0F05" w:rsidRDefault="0008751D" w:rsidP="0008751D">
      <w:pPr>
        <w:pStyle w:val="Caption"/>
        <w:rPr>
          <w:rFonts w:ascii="DeutscheBank" w:eastAsia="Arial" w:hAnsi="DeutscheBank" w:cs="Arial"/>
          <w:lang w:val="en-GB" w:eastAsia="de-DE"/>
          <w14:ligatures w14:val="none"/>
        </w:rPr>
      </w:pPr>
      <w:r w:rsidRPr="47163E79">
        <w:rPr>
          <w:rFonts w:ascii="DeutscheBank" w:eastAsia="Arial" w:hAnsi="DeutscheBank" w:cs="Arial"/>
          <w:lang w:val="en-GB" w:eastAsia="de-DE"/>
          <w14:ligatures w14:val="none"/>
        </w:rPr>
        <w:t xml:space="preserve">Figure 13: </w:t>
      </w:r>
      <w:r w:rsidR="695EE4F9" w:rsidRPr="47163E79">
        <w:rPr>
          <w:rFonts w:ascii="DeutscheBank" w:eastAsia="Arial" w:hAnsi="DeutscheBank" w:cs="Arial"/>
          <w:lang w:val="en-GB" w:eastAsia="de-DE"/>
        </w:rPr>
        <w:t>S</w:t>
      </w:r>
      <w:r w:rsidRPr="47163E79">
        <w:rPr>
          <w:rFonts w:ascii="DeutscheBank" w:eastAsia="Arial" w:hAnsi="DeutscheBank" w:cs="Arial"/>
          <w:lang w:val="en-GB" w:eastAsia="de-DE"/>
        </w:rPr>
        <w:t xml:space="preserve">trengths of </w:t>
      </w:r>
      <w:r w:rsidR="7E53A591" w:rsidRPr="47163E79">
        <w:rPr>
          <w:rFonts w:ascii="DeutscheBank" w:eastAsia="Arial" w:hAnsi="DeutscheBank" w:cs="Arial"/>
          <w:lang w:val="en-GB" w:eastAsia="de-DE"/>
        </w:rPr>
        <w:t>top 3 investment destinations by factor</w:t>
      </w:r>
    </w:p>
    <w:p w14:paraId="564456AF" w14:textId="1EF06DB8" w:rsidR="0008751D" w:rsidRPr="00D55D08" w:rsidRDefault="7BDCC98F" w:rsidP="0008751D">
      <w:pPr>
        <w:pStyle w:val="Copy"/>
        <w:rPr>
          <w:rFonts w:ascii="DeutscheBank" w:hAnsi="DeutscheBank"/>
          <w:lang w:val="en-GB"/>
        </w:rPr>
      </w:pPr>
      <w:r w:rsidRPr="041E5C19">
        <w:rPr>
          <w:rFonts w:ascii="DeutscheBank" w:hAnsi="DeutscheBank"/>
          <w:lang w:val="en-GB"/>
        </w:rPr>
        <w:t>Germany, the UK and France</w:t>
      </w:r>
      <w:r w:rsidR="002B3C12" w:rsidRPr="041E5C19">
        <w:rPr>
          <w:rFonts w:ascii="DeutscheBank" w:hAnsi="DeutscheBank"/>
          <w:lang w:val="en-GB"/>
        </w:rPr>
        <w:t xml:space="preserve"> (</w:t>
      </w:r>
      <w:r w:rsidR="0008751D" w:rsidRPr="041E5C19">
        <w:rPr>
          <w:rFonts w:ascii="DeutscheBank" w:eastAsia="Arial" w:hAnsi="DeutscheBank" w:cs="Arial"/>
          <w:color w:val="222222"/>
          <w:lang w:val="en-GB" w:eastAsia="de-DE"/>
        </w:rPr>
        <w:t>all respondents)</w:t>
      </w:r>
    </w:p>
    <w:p w14:paraId="16BE6CD7" w14:textId="1A754CFF" w:rsidR="0008751D" w:rsidRPr="001E5405" w:rsidRDefault="00AC7604" w:rsidP="0008751D">
      <w:pPr>
        <w:keepNext/>
        <w:spacing w:before="140" w:after="40"/>
        <w:jc w:val="center"/>
        <w:rPr>
          <w:rFonts w:ascii="DeutscheBank" w:hAnsi="DeutscheBank"/>
        </w:rPr>
      </w:pPr>
      <w:r>
        <w:rPr>
          <w:noProof/>
        </w:rPr>
        <w:drawing>
          <wp:inline distT="0" distB="0" distL="0" distR="0" wp14:anchorId="5957F037" wp14:editId="79B38BF8">
            <wp:extent cx="6216650" cy="1174277"/>
            <wp:effectExtent l="0" t="0" r="0" b="6985"/>
            <wp:docPr id="224381052" name="Grafik 20" descr="Chart compares top 5 country strengths of Germany with the UK and France. The horizontal bar chart shows country scores across infrastructure/logistics, innovation/AI, industrial capability, skilled workforce, and market growth/scaling. Germany leads most categories at 55–59%, average rate 54%, UK follows at 45–52%, average rate 49%, and France ranges from 39–42%, average rate 39%, with blue bars and percentage label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381052" name="Grafik 20" descr="Chart compares top 5 country strengths of Germany with the UK and France. The horizontal bar chart shows country scores across infrastructure/logistics, innovation/AI, industrial capability, skilled workforce, and market growth/scaling. Germany leads most categories at 55–59%, average rate 54%, UK follows at 45–52%, average rate 49%, and France ranges from 39–42%, average rate 39%, with blue bars and percentage labels.&#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22109" cy="1175308"/>
                    </a:xfrm>
                    <a:prstGeom prst="rect">
                      <a:avLst/>
                    </a:prstGeom>
                    <a:noFill/>
                    <a:ln>
                      <a:noFill/>
                    </a:ln>
                  </pic:spPr>
                </pic:pic>
              </a:graphicData>
            </a:graphic>
          </wp:inline>
        </w:drawing>
      </w:r>
    </w:p>
    <w:p w14:paraId="6609B03D" w14:textId="638B0E1B" w:rsidR="0008751D" w:rsidRDefault="0008751D" w:rsidP="00C01162">
      <w:pPr>
        <w:spacing w:after="180"/>
        <w:jc w:val="both"/>
        <w:rPr>
          <w:rFonts w:ascii="DeutscheBank" w:hAnsi="DeutscheBank"/>
          <w:lang w:val="en-GB"/>
        </w:rPr>
      </w:pPr>
      <w:r w:rsidRPr="000B0F05">
        <w:rPr>
          <w:rFonts w:ascii="DeutscheBank" w:hAnsi="DeutscheBank"/>
          <w:b/>
          <w:bCs/>
          <w:color w:val="000000" w:themeColor="text1"/>
          <w:sz w:val="16"/>
          <w:szCs w:val="16"/>
          <w:lang w:val="en-GB"/>
        </w:rPr>
        <w:t xml:space="preserve">Source: </w:t>
      </w:r>
      <w:r w:rsidRPr="000B0F05">
        <w:rPr>
          <w:rFonts w:ascii="DeutscheBank" w:hAnsi="DeutscheBank"/>
          <w:color w:val="000000" w:themeColor="text1"/>
          <w:sz w:val="16"/>
          <w:szCs w:val="16"/>
          <w:lang w:val="en-GB"/>
        </w:rPr>
        <w:t>Global Sentiment Survey on Europe 2026, B2B online survey. Base: all respondents, n = 1,200</w:t>
      </w:r>
    </w:p>
    <w:p w14:paraId="3885618D" w14:textId="7D57BBC7" w:rsidR="00C01162" w:rsidRDefault="00C01162">
      <w:pPr>
        <w:spacing w:after="160" w:line="24" w:lineRule="auto"/>
        <w:rPr>
          <w:rFonts w:ascii="DeutscheBank" w:hAnsi="DeutscheBank"/>
          <w:lang w:val="en-GB"/>
        </w:rPr>
      </w:pPr>
      <w:r>
        <w:rPr>
          <w:rFonts w:ascii="DeutscheBank" w:hAnsi="DeutscheBank"/>
          <w:lang w:val="en-GB"/>
        </w:rPr>
        <w:br w:type="page"/>
      </w:r>
    </w:p>
    <w:p w14:paraId="0A95CF55" w14:textId="25FAFA1A" w:rsidR="788F5CDC" w:rsidRDefault="788F5CDC" w:rsidP="47163E79">
      <w:pPr>
        <w:pStyle w:val="Heading1"/>
        <w:pageBreakBefore/>
        <w:rPr>
          <w:rFonts w:ascii="DeutscheBank" w:hAnsi="DeutscheBank"/>
          <w:sz w:val="28"/>
          <w:szCs w:val="28"/>
          <w:lang w:val="en-GB"/>
        </w:rPr>
      </w:pPr>
      <w:bookmarkStart w:id="41" w:name="_Toc240464238"/>
      <w:bookmarkStart w:id="42" w:name="_Toc240474431"/>
      <w:bookmarkEnd w:id="41"/>
      <w:r w:rsidRPr="47163E79">
        <w:rPr>
          <w:rFonts w:ascii="DeutscheBank" w:hAnsi="DeutscheBank"/>
          <w:sz w:val="28"/>
          <w:szCs w:val="28"/>
          <w:lang w:val="en-GB"/>
        </w:rPr>
        <w:lastRenderedPageBreak/>
        <w:t>Priorities for action in Europe</w:t>
      </w:r>
      <w:bookmarkEnd w:id="42"/>
    </w:p>
    <w:p w14:paraId="5BEE0BC0" w14:textId="604EF5AF" w:rsidR="0008751D" w:rsidRPr="00BB676A" w:rsidRDefault="0008751D" w:rsidP="00AA76E2">
      <w:pPr>
        <w:spacing w:after="150" w:line="288" w:lineRule="auto"/>
        <w:rPr>
          <w:rFonts w:ascii="DeutscheBank" w:hAnsi="DeutscheBank"/>
          <w:sz w:val="20"/>
          <w:szCs w:val="20"/>
          <w:lang w:val="en-GB"/>
        </w:rPr>
      </w:pPr>
      <w:r w:rsidRPr="041E5C19">
        <w:rPr>
          <w:rFonts w:ascii="DeutscheBank" w:hAnsi="DeutscheBank"/>
          <w:sz w:val="20"/>
          <w:szCs w:val="20"/>
          <w:lang w:val="en-GB"/>
        </w:rPr>
        <w:t xml:space="preserve">Four factors fall below the 50 percent </w:t>
      </w:r>
      <w:r w:rsidR="37CF319D" w:rsidRPr="041E5C19">
        <w:rPr>
          <w:rFonts w:ascii="DeutscheBank" w:hAnsi="DeutscheBank"/>
          <w:sz w:val="20"/>
          <w:szCs w:val="20"/>
          <w:lang w:val="en-GB"/>
        </w:rPr>
        <w:t xml:space="preserve">advantage </w:t>
      </w:r>
      <w:r w:rsidRPr="041E5C19">
        <w:rPr>
          <w:rFonts w:ascii="DeutscheBank" w:hAnsi="DeutscheBank"/>
          <w:sz w:val="20"/>
          <w:szCs w:val="20"/>
          <w:lang w:val="en-GB"/>
        </w:rPr>
        <w:t>line</w:t>
      </w:r>
      <w:r w:rsidR="6847CEAC" w:rsidRPr="041E5C19">
        <w:rPr>
          <w:rFonts w:ascii="DeutscheBank" w:hAnsi="DeutscheBank"/>
          <w:sz w:val="20"/>
          <w:szCs w:val="20"/>
          <w:lang w:val="en-GB"/>
        </w:rPr>
        <w:t xml:space="preserve">. These </w:t>
      </w:r>
      <w:r w:rsidR="2820B67C" w:rsidRPr="041E5C19">
        <w:rPr>
          <w:rFonts w:ascii="DeutscheBank" w:hAnsi="DeutscheBank"/>
          <w:sz w:val="20"/>
          <w:szCs w:val="20"/>
          <w:lang w:val="en-GB"/>
        </w:rPr>
        <w:t>are</w:t>
      </w:r>
      <w:r w:rsidRPr="041E5C19">
        <w:rPr>
          <w:rFonts w:ascii="DeutscheBank" w:hAnsi="DeutscheBank"/>
          <w:sz w:val="20"/>
          <w:szCs w:val="20"/>
          <w:lang w:val="en-GB"/>
        </w:rPr>
        <w:t xml:space="preserve"> Europe's clearest </w:t>
      </w:r>
      <w:r w:rsidR="2820B67C" w:rsidRPr="041E5C19">
        <w:rPr>
          <w:rFonts w:ascii="DeutscheBank" w:hAnsi="DeutscheBank"/>
          <w:sz w:val="20"/>
          <w:szCs w:val="20"/>
          <w:lang w:val="en-GB"/>
        </w:rPr>
        <w:t>priorities for action</w:t>
      </w:r>
      <w:r w:rsidRPr="041E5C19">
        <w:rPr>
          <w:rFonts w:ascii="DeutscheBank" w:hAnsi="DeutscheBank"/>
          <w:sz w:val="20"/>
          <w:szCs w:val="20"/>
          <w:lang w:val="en-GB"/>
        </w:rPr>
        <w:t xml:space="preserve">: labour cost competitiveness (42 percent), the tax </w:t>
      </w:r>
      <w:r w:rsidR="1C8C0F9F" w:rsidRPr="041E5C19">
        <w:rPr>
          <w:rFonts w:ascii="DeutscheBank" w:hAnsi="DeutscheBank"/>
          <w:sz w:val="20"/>
          <w:szCs w:val="20"/>
          <w:lang w:val="en-GB"/>
        </w:rPr>
        <w:t xml:space="preserve">and incentive </w:t>
      </w:r>
      <w:r w:rsidRPr="041E5C19">
        <w:rPr>
          <w:rFonts w:ascii="DeutscheBank" w:hAnsi="DeutscheBank"/>
          <w:sz w:val="20"/>
          <w:szCs w:val="20"/>
          <w:lang w:val="en-GB"/>
        </w:rPr>
        <w:t xml:space="preserve">environment (44 percent), energy cost competitiveness (47 percent) </w:t>
      </w:r>
      <w:r w:rsidR="02D949B2" w:rsidRPr="041E5C19">
        <w:rPr>
          <w:rFonts w:ascii="DeutscheBank" w:hAnsi="DeutscheBank"/>
          <w:sz w:val="20"/>
          <w:szCs w:val="20"/>
          <w:lang w:val="en-GB"/>
        </w:rPr>
        <w:t>a</w:t>
      </w:r>
      <w:r w:rsidR="7CF2F3E9" w:rsidRPr="041E5C19">
        <w:rPr>
          <w:rFonts w:ascii="DeutscheBank" w:hAnsi="DeutscheBank"/>
          <w:sz w:val="20"/>
          <w:szCs w:val="20"/>
          <w:lang w:val="en-GB"/>
        </w:rPr>
        <w:t xml:space="preserve">s well as </w:t>
      </w:r>
      <w:r w:rsidRPr="041E5C19">
        <w:rPr>
          <w:rFonts w:ascii="DeutscheBank" w:hAnsi="DeutscheBank"/>
          <w:sz w:val="20"/>
          <w:szCs w:val="20"/>
          <w:lang w:val="en-GB"/>
        </w:rPr>
        <w:t xml:space="preserve">approval and permitting </w:t>
      </w:r>
      <w:r w:rsidR="4F1018FD" w:rsidRPr="041E5C19">
        <w:rPr>
          <w:rFonts w:ascii="DeutscheBank" w:hAnsi="DeutscheBank"/>
          <w:sz w:val="20"/>
          <w:szCs w:val="20"/>
          <w:lang w:val="en-GB"/>
        </w:rPr>
        <w:t>speed</w:t>
      </w:r>
      <w:r w:rsidRPr="041E5C19">
        <w:rPr>
          <w:rFonts w:ascii="DeutscheBank" w:hAnsi="DeutscheBank"/>
          <w:sz w:val="20"/>
          <w:szCs w:val="20"/>
          <w:lang w:val="en-GB"/>
        </w:rPr>
        <w:t xml:space="preserve"> (47 percent). </w:t>
      </w:r>
    </w:p>
    <w:p w14:paraId="5645AACD" w14:textId="0372F17D" w:rsidR="0008751D" w:rsidRDefault="0008751D" w:rsidP="00AA76E2">
      <w:pPr>
        <w:spacing w:after="150" w:line="288" w:lineRule="auto"/>
        <w:rPr>
          <w:rFonts w:ascii="DeutscheBank" w:hAnsi="DeutscheBank"/>
          <w:sz w:val="20"/>
          <w:szCs w:val="20"/>
          <w:lang w:val="en-GB"/>
        </w:rPr>
      </w:pPr>
      <w:r w:rsidRPr="041E5C19">
        <w:rPr>
          <w:rFonts w:ascii="DeutscheBank" w:hAnsi="DeutscheBank"/>
          <w:sz w:val="20"/>
          <w:szCs w:val="20"/>
          <w:lang w:val="en-GB"/>
        </w:rPr>
        <w:t xml:space="preserve">The result is a </w:t>
      </w:r>
      <w:r w:rsidR="42A75DD0" w:rsidRPr="041E5C19">
        <w:rPr>
          <w:rFonts w:ascii="DeutscheBank" w:hAnsi="DeutscheBank"/>
          <w:sz w:val="20"/>
          <w:szCs w:val="20"/>
          <w:lang w:val="en-GB"/>
        </w:rPr>
        <w:t>clear</w:t>
      </w:r>
      <w:r w:rsidRPr="041E5C19">
        <w:rPr>
          <w:rFonts w:ascii="DeutscheBank" w:hAnsi="DeutscheBank"/>
          <w:sz w:val="20"/>
          <w:szCs w:val="20"/>
          <w:lang w:val="en-GB"/>
        </w:rPr>
        <w:t xml:space="preserve"> agenda. Europe's stability provides a strong basis for long-term investment, but it </w:t>
      </w:r>
      <w:r w:rsidR="26CCDE64" w:rsidRPr="041E5C19">
        <w:rPr>
          <w:rFonts w:ascii="DeutscheBank" w:hAnsi="DeutscheBank"/>
          <w:sz w:val="20"/>
          <w:szCs w:val="20"/>
          <w:lang w:val="en-GB"/>
        </w:rPr>
        <w:t>is no substitute</w:t>
      </w:r>
      <w:r w:rsidRPr="041E5C19">
        <w:rPr>
          <w:rFonts w:ascii="DeutscheBank" w:hAnsi="DeutscheBank"/>
          <w:sz w:val="20"/>
          <w:szCs w:val="20"/>
          <w:lang w:val="en-GB"/>
        </w:rPr>
        <w:t xml:space="preserve"> for reform.</w:t>
      </w:r>
    </w:p>
    <w:p w14:paraId="7511F89C" w14:textId="6C008F37" w:rsidR="0008751D" w:rsidRPr="001710B7" w:rsidRDefault="0008751D" w:rsidP="001710B7">
      <w:pPr>
        <w:rPr>
          <w:rFonts w:ascii="DeutscheBank" w:hAnsi="DeutscheBank"/>
          <w:b/>
          <w:bCs/>
          <w:color w:val="000000" w:themeColor="text1"/>
          <w:sz w:val="20"/>
          <w:szCs w:val="20"/>
          <w:lang w:val="en-GB"/>
        </w:rPr>
      </w:pPr>
      <w:r w:rsidRPr="00890660">
        <w:rPr>
          <w:rFonts w:ascii="DeutscheBank" w:hAnsi="DeutscheBank"/>
          <w:b/>
          <w:sz w:val="20"/>
          <w:szCs w:val="20"/>
          <w:lang w:val="en-GB"/>
        </w:rPr>
        <w:t xml:space="preserve">Figure </w:t>
      </w:r>
      <w:r w:rsidR="20B5588D" w:rsidRPr="00890660">
        <w:rPr>
          <w:rFonts w:ascii="DeutscheBank" w:hAnsi="DeutscheBank"/>
          <w:b/>
          <w:bCs/>
          <w:sz w:val="20"/>
          <w:szCs w:val="20"/>
          <w:lang w:val="en-GB"/>
        </w:rPr>
        <w:t>1</w:t>
      </w:r>
      <w:r w:rsidR="3DB505A0" w:rsidRPr="00890660">
        <w:rPr>
          <w:rFonts w:ascii="DeutscheBank" w:hAnsi="DeutscheBank"/>
          <w:b/>
          <w:bCs/>
          <w:sz w:val="20"/>
          <w:szCs w:val="20"/>
          <w:lang w:val="en-GB"/>
        </w:rPr>
        <w:t>4</w:t>
      </w:r>
      <w:r w:rsidRPr="00890660">
        <w:rPr>
          <w:rFonts w:ascii="DeutscheBank" w:hAnsi="DeutscheBank"/>
          <w:b/>
          <w:sz w:val="20"/>
          <w:szCs w:val="20"/>
          <w:lang w:val="en-GB"/>
        </w:rPr>
        <w:t>:</w:t>
      </w:r>
      <w:r w:rsidRPr="47163E79">
        <w:rPr>
          <w:rFonts w:ascii="DeutscheBank" w:hAnsi="DeutscheBank"/>
          <w:lang w:val="en-GB"/>
        </w:rPr>
        <w:t xml:space="preserve"> </w:t>
      </w:r>
      <w:r w:rsidRPr="47163E79">
        <w:rPr>
          <w:rFonts w:ascii="DeutscheBank" w:hAnsi="DeutscheBank"/>
          <w:b/>
          <w:lang w:val="en-GB"/>
        </w:rPr>
        <w:t xml:space="preserve">The four </w:t>
      </w:r>
      <w:r w:rsidR="00157040" w:rsidRPr="47163E79">
        <w:rPr>
          <w:rFonts w:ascii="DeutscheBank" w:hAnsi="DeutscheBank"/>
          <w:b/>
          <w:lang w:val="en-GB"/>
        </w:rPr>
        <w:t xml:space="preserve">priorities for </w:t>
      </w:r>
      <w:r w:rsidRPr="47163E79">
        <w:rPr>
          <w:rFonts w:ascii="DeutscheBank" w:hAnsi="DeutscheBank"/>
          <w:b/>
          <w:lang w:val="en-GB"/>
        </w:rPr>
        <w:t>action</w:t>
      </w:r>
      <w:r w:rsidRPr="47163E79" w:rsidDel="00157040">
        <w:rPr>
          <w:rFonts w:ascii="DeutscheBank" w:hAnsi="DeutscheBank"/>
          <w:b/>
          <w:lang w:val="en-GB"/>
        </w:rPr>
        <w:t xml:space="preserve"> </w:t>
      </w:r>
      <w:r w:rsidRPr="47163E79">
        <w:rPr>
          <w:rFonts w:ascii="DeutscheBank" w:hAnsi="DeutscheBank"/>
          <w:b/>
          <w:lang w:val="en-GB"/>
        </w:rPr>
        <w:t xml:space="preserve">where Europe can </w:t>
      </w:r>
      <w:r w:rsidR="52218F20" w:rsidRPr="01CACBFD">
        <w:rPr>
          <w:rFonts w:ascii="DeutscheBank" w:hAnsi="DeutscheBank"/>
          <w:b/>
          <w:bCs/>
          <w:lang w:val="en-GB"/>
        </w:rPr>
        <w:t>strengthen</w:t>
      </w:r>
      <w:r w:rsidRPr="47163E79">
        <w:rPr>
          <w:rFonts w:ascii="DeutscheBank" w:hAnsi="DeutscheBank"/>
          <w:b/>
          <w:lang w:val="en-GB"/>
        </w:rPr>
        <w:t xml:space="preserve"> its competitiveness</w:t>
      </w:r>
    </w:p>
    <w:p w14:paraId="4D7B5D9A" w14:textId="7F27EFE8" w:rsidR="0008751D" w:rsidRPr="00D55D08" w:rsidRDefault="7030A97A" w:rsidP="0008751D">
      <w:pPr>
        <w:pStyle w:val="Copy"/>
        <w:rPr>
          <w:rFonts w:ascii="DeutscheBank" w:hAnsi="DeutscheBank"/>
          <w:lang w:val="en-GB"/>
        </w:rPr>
      </w:pPr>
      <w:r w:rsidRPr="041E5C19">
        <w:rPr>
          <w:rFonts w:ascii="DeutscheBank" w:hAnsi="DeutscheBank"/>
          <w:lang w:val="en-GB"/>
        </w:rPr>
        <w:t>(</w:t>
      </w:r>
      <w:r w:rsidR="1EB77BC7" w:rsidRPr="041E5C19">
        <w:rPr>
          <w:rFonts w:ascii="DeutscheBank" w:hAnsi="DeutscheBank"/>
          <w:lang w:val="en-GB"/>
        </w:rPr>
        <w:t>A</w:t>
      </w:r>
      <w:r w:rsidR="20B5588D" w:rsidRPr="041E5C19">
        <w:rPr>
          <w:rFonts w:ascii="DeutscheBank" w:eastAsia="Arial" w:hAnsi="DeutscheBank" w:cs="Arial"/>
          <w:color w:val="222222"/>
          <w:lang w:val="en-GB" w:eastAsia="de-DE"/>
        </w:rPr>
        <w:t>ll</w:t>
      </w:r>
      <w:r w:rsidR="0008751D" w:rsidRPr="041E5C19">
        <w:rPr>
          <w:rFonts w:ascii="DeutscheBank" w:eastAsia="Arial" w:hAnsi="DeutscheBank" w:cs="Arial"/>
          <w:color w:val="222222"/>
          <w:lang w:val="en-GB" w:eastAsia="de-DE"/>
        </w:rPr>
        <w:t xml:space="preserve"> respondents)</w:t>
      </w:r>
    </w:p>
    <w:p w14:paraId="09417F07" w14:textId="385B6E53" w:rsidR="006E641F" w:rsidRPr="006E641F" w:rsidRDefault="006E641F" w:rsidP="006E641F">
      <w:pPr>
        <w:keepNext/>
        <w:spacing w:before="140" w:after="40"/>
        <w:jc w:val="center"/>
        <w:rPr>
          <w:rFonts w:ascii="DeutscheBank" w:hAnsi="DeutscheBank"/>
        </w:rPr>
      </w:pPr>
      <w:r w:rsidRPr="006E641F">
        <w:rPr>
          <w:rFonts w:ascii="DeutscheBank" w:hAnsi="DeutscheBank"/>
          <w:noProof/>
        </w:rPr>
        <w:drawing>
          <wp:inline distT="0" distB="0" distL="0" distR="0" wp14:anchorId="303C02BB" wp14:editId="0D1B05C2">
            <wp:extent cx="5760720" cy="2817495"/>
            <wp:effectExtent l="0" t="0" r="0" b="1905"/>
            <wp:docPr id="661645701" name="Grafik 17" descr="A horizontal stacked bar chart compares perceived advantages and disadvantages across labour cost competitiveness, tax and incentive environment, energy cost competitiveness, and approval and permitting speed. A 50% advantage benchmark line accompanies bars, with top-two advantage scores of 42%, 44%, 47%, and 47%; color-coded segments show strong, moderate, and slight advantage or disadvan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45701" name="Grafik 17" descr="A horizontal stacked bar chart compares perceived advantages and disadvantages across labour cost competitiveness, tax and incentive environment, energy cost competitiveness, and approval and permitting speed. A 50% advantage benchmark line accompanies bars, with top-two advantage scores of 42%, 44%, 47%, and 47%; color-coded segments show strong, moderate, and slight advantage or disadvant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2817495"/>
                    </a:xfrm>
                    <a:prstGeom prst="rect">
                      <a:avLst/>
                    </a:prstGeom>
                    <a:noFill/>
                    <a:ln>
                      <a:noFill/>
                    </a:ln>
                  </pic:spPr>
                </pic:pic>
              </a:graphicData>
            </a:graphic>
          </wp:inline>
        </w:drawing>
      </w:r>
    </w:p>
    <w:p w14:paraId="10C2AA33" w14:textId="67D48747" w:rsidR="0008751D" w:rsidRPr="001E5405" w:rsidRDefault="0008751D" w:rsidP="00F16DBE">
      <w:pPr>
        <w:keepNext/>
        <w:spacing w:before="140" w:after="40"/>
        <w:rPr>
          <w:rFonts w:ascii="DeutscheBank" w:hAnsi="DeutscheBank"/>
        </w:rPr>
      </w:pPr>
    </w:p>
    <w:p w14:paraId="1708246C" w14:textId="77777777" w:rsidR="0008751D" w:rsidRPr="001E5405" w:rsidRDefault="0008751D" w:rsidP="0008751D">
      <w:pPr>
        <w:spacing w:after="180"/>
        <w:jc w:val="both"/>
        <w:rPr>
          <w:rFonts w:ascii="DeutscheBank" w:hAnsi="DeutscheBank"/>
          <w:lang w:val="en-GB"/>
        </w:rPr>
      </w:pPr>
      <w:r w:rsidRPr="000B0F05">
        <w:rPr>
          <w:rFonts w:ascii="DeutscheBank" w:hAnsi="DeutscheBank"/>
          <w:b/>
          <w:bCs/>
          <w:color w:val="000000" w:themeColor="text1"/>
          <w:sz w:val="16"/>
          <w:szCs w:val="16"/>
          <w:lang w:val="en-GB"/>
        </w:rPr>
        <w:t xml:space="preserve">Source: </w:t>
      </w:r>
      <w:r w:rsidRPr="000B0F05">
        <w:rPr>
          <w:rFonts w:ascii="DeutscheBank" w:hAnsi="DeutscheBank"/>
          <w:color w:val="000000" w:themeColor="text1"/>
          <w:sz w:val="16"/>
          <w:szCs w:val="16"/>
          <w:lang w:val="en-GB"/>
        </w:rPr>
        <w:t>Global Sentiment Survey on Europe 2026, B2B online survey. Base: all respondents, n = 1,200</w:t>
      </w:r>
    </w:p>
    <w:p w14:paraId="2E69F80F" w14:textId="4314C274" w:rsidR="0008751D" w:rsidRPr="00BB676A" w:rsidRDefault="002C0CA1" w:rsidP="00AA76E2">
      <w:pPr>
        <w:pStyle w:val="Heading1"/>
        <w:pageBreakBefore/>
        <w:rPr>
          <w:rFonts w:ascii="DeutscheBank" w:hAnsi="DeutscheBank"/>
          <w:sz w:val="28"/>
          <w:szCs w:val="28"/>
          <w:lang w:val="en-GB"/>
        </w:rPr>
      </w:pPr>
      <w:bookmarkStart w:id="43" w:name="_Toc239930543"/>
      <w:bookmarkStart w:id="44" w:name="_Toc240474432"/>
      <w:r>
        <w:rPr>
          <w:rFonts w:ascii="DeutscheBank" w:hAnsi="DeutscheBank"/>
          <w:sz w:val="28"/>
          <w:szCs w:val="28"/>
          <w:lang w:val="en-GB"/>
        </w:rPr>
        <w:lastRenderedPageBreak/>
        <w:t>Europe has yet to realise the full b</w:t>
      </w:r>
      <w:r w:rsidR="0008751D" w:rsidRPr="00BB676A">
        <w:rPr>
          <w:rFonts w:ascii="DeutscheBank" w:hAnsi="DeutscheBank"/>
          <w:sz w:val="28"/>
          <w:szCs w:val="28"/>
          <w:lang w:val="en-GB"/>
        </w:rPr>
        <w:t>enefits of the Single Market</w:t>
      </w:r>
      <w:bookmarkEnd w:id="43"/>
      <w:bookmarkEnd w:id="44"/>
    </w:p>
    <w:p w14:paraId="325E3376" w14:textId="53596A13" w:rsidR="0008751D" w:rsidRPr="00BB676A" w:rsidRDefault="0008751D" w:rsidP="00AA76E2">
      <w:pPr>
        <w:spacing w:after="150" w:line="288" w:lineRule="auto"/>
        <w:rPr>
          <w:rFonts w:ascii="DeutscheBank" w:hAnsi="DeutscheBank"/>
          <w:sz w:val="20"/>
          <w:szCs w:val="20"/>
          <w:lang w:val="en-GB"/>
        </w:rPr>
      </w:pPr>
      <w:r w:rsidRPr="00BB676A">
        <w:rPr>
          <w:rFonts w:ascii="DeutscheBank" w:hAnsi="DeutscheBank"/>
          <w:sz w:val="20"/>
          <w:szCs w:val="20"/>
          <w:lang w:val="en-GB"/>
        </w:rPr>
        <w:t>Investors value Europe, but they do not yet experience it as a single, seamless market. This chapter sets out how unified the region is seen to be, and how much cross-border friction still weighs on its appeal</w:t>
      </w:r>
      <w:r w:rsidR="17BA1D9A" w:rsidRPr="47163E79">
        <w:rPr>
          <w:rFonts w:ascii="DeutscheBank" w:hAnsi="DeutscheBank"/>
          <w:sz w:val="20"/>
          <w:szCs w:val="20"/>
          <w:lang w:val="en-GB"/>
        </w:rPr>
        <w:t>. The message is clear</w:t>
      </w:r>
      <w:r w:rsidR="7C282563" w:rsidRPr="47163E79">
        <w:rPr>
          <w:rFonts w:ascii="DeutscheBank" w:hAnsi="DeutscheBank"/>
          <w:sz w:val="20"/>
          <w:szCs w:val="20"/>
          <w:lang w:val="en-GB"/>
        </w:rPr>
        <w:t xml:space="preserve">: </w:t>
      </w:r>
      <w:r w:rsidRPr="00BB676A">
        <w:rPr>
          <w:rFonts w:ascii="DeutscheBank" w:hAnsi="DeutscheBank"/>
          <w:sz w:val="20"/>
          <w:szCs w:val="20"/>
          <w:lang w:val="en-GB"/>
        </w:rPr>
        <w:t xml:space="preserve">Europe's biggest </w:t>
      </w:r>
      <w:r w:rsidR="000E1E84">
        <w:rPr>
          <w:rFonts w:ascii="DeutscheBank" w:hAnsi="DeutscheBank"/>
          <w:sz w:val="20"/>
          <w:szCs w:val="20"/>
          <w:lang w:val="en-GB"/>
        </w:rPr>
        <w:t>obstacle</w:t>
      </w:r>
      <w:r w:rsidRPr="00BB676A">
        <w:rPr>
          <w:rFonts w:ascii="DeutscheBank" w:hAnsi="DeutscheBank"/>
          <w:sz w:val="20"/>
          <w:szCs w:val="20"/>
          <w:lang w:val="en-GB"/>
        </w:rPr>
        <w:t xml:space="preserve"> is Europe itself.</w:t>
      </w:r>
    </w:p>
    <w:p w14:paraId="62E911CD" w14:textId="77777777" w:rsidR="0008751D" w:rsidRPr="005C7DA3" w:rsidRDefault="0008751D" w:rsidP="0008751D">
      <w:pPr>
        <w:spacing w:after="150" w:line="288" w:lineRule="auto"/>
        <w:jc w:val="both"/>
        <w:rPr>
          <w:rFonts w:ascii="DeutscheBank" w:hAnsi="DeutscheBank"/>
          <w:lang w:val="en-GB"/>
        </w:rPr>
      </w:pPr>
    </w:p>
    <w:p w14:paraId="225CE0CF" w14:textId="77777777" w:rsidR="0008751D" w:rsidRPr="00F16DBE" w:rsidRDefault="0008751D" w:rsidP="0008751D">
      <w:pPr>
        <w:spacing w:before="40" w:after="90"/>
        <w:jc w:val="both"/>
        <w:rPr>
          <w:rFonts w:ascii="DeutscheBank" w:hAnsi="DeutscheBank"/>
          <w:lang w:val="en-US"/>
        </w:rPr>
      </w:pPr>
      <w:r w:rsidRPr="00F16DBE">
        <w:rPr>
          <w:rFonts w:ascii="DeutscheBank" w:hAnsi="DeutscheBank"/>
          <w:b/>
          <w:caps/>
          <w:color w:val="5A6472"/>
          <w:sz w:val="18"/>
          <w:szCs w:val="18"/>
          <w:lang w:val="en-US"/>
        </w:rPr>
        <w:t>At a glance</w:t>
      </w:r>
    </w:p>
    <w:tbl>
      <w:tblPr>
        <w:tblW w:w="9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36"/>
        <w:gridCol w:w="2436"/>
        <w:gridCol w:w="4192"/>
      </w:tblGrid>
      <w:tr w:rsidR="0008751D" w:rsidRPr="00C66C08" w14:paraId="283C271F" w14:textId="77777777" w:rsidTr="00834366">
        <w:tc>
          <w:tcPr>
            <w:tcW w:w="243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602917ED" w14:textId="77777777" w:rsidR="0008751D" w:rsidRPr="001E5405" w:rsidRDefault="0008751D" w:rsidP="009C2716">
            <w:pPr>
              <w:spacing w:after="40"/>
              <w:jc w:val="both"/>
              <w:rPr>
                <w:rFonts w:ascii="DeutscheBank" w:hAnsi="DeutscheBank"/>
                <w:lang w:val="en-GB"/>
              </w:rPr>
            </w:pPr>
            <w:r w:rsidRPr="001E5405">
              <w:rPr>
                <w:rFonts w:ascii="DeutscheBank" w:hAnsi="DeutscheBank"/>
                <w:b/>
                <w:bCs/>
                <w:color w:val="0069B1"/>
                <w:sz w:val="30"/>
                <w:szCs w:val="30"/>
                <w:lang w:val="en-GB"/>
              </w:rPr>
              <w:t>62%</w:t>
            </w:r>
          </w:p>
          <w:p w14:paraId="2387B7D1" w14:textId="77777777" w:rsidR="0008751D" w:rsidRPr="001E5405" w:rsidRDefault="0008751D" w:rsidP="002B3C12">
            <w:pPr>
              <w:rPr>
                <w:rFonts w:ascii="DeutscheBank" w:hAnsi="DeutscheBank"/>
                <w:lang w:val="en-GB"/>
              </w:rPr>
            </w:pPr>
            <w:r w:rsidRPr="001E5405">
              <w:rPr>
                <w:rFonts w:ascii="DeutscheBank" w:hAnsi="DeutscheBank"/>
                <w:color w:val="5A6472"/>
                <w:sz w:val="16"/>
                <w:szCs w:val="16"/>
                <w:lang w:val="en-GB"/>
              </w:rPr>
              <w:t>see a unified or mostly unified market</w:t>
            </w:r>
          </w:p>
        </w:tc>
        <w:tc>
          <w:tcPr>
            <w:tcW w:w="243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0CA6A540" w14:textId="77777777" w:rsidR="0008751D" w:rsidRPr="001E5405" w:rsidRDefault="0008751D" w:rsidP="009C2716">
            <w:pPr>
              <w:spacing w:after="40"/>
              <w:jc w:val="both"/>
              <w:rPr>
                <w:rFonts w:ascii="DeutscheBank" w:hAnsi="DeutscheBank"/>
                <w:lang w:val="en-GB"/>
              </w:rPr>
            </w:pPr>
            <w:r w:rsidRPr="001E5405">
              <w:rPr>
                <w:rFonts w:ascii="DeutscheBank" w:hAnsi="DeutscheBank"/>
                <w:b/>
                <w:bCs/>
                <w:color w:val="0069B1"/>
                <w:sz w:val="30"/>
                <w:szCs w:val="30"/>
                <w:lang w:val="en-GB"/>
              </w:rPr>
              <w:t>43%</w:t>
            </w:r>
          </w:p>
          <w:p w14:paraId="701E3C19" w14:textId="77777777" w:rsidR="0008751D" w:rsidRPr="001E5405" w:rsidRDefault="0008751D" w:rsidP="002B3C12">
            <w:pPr>
              <w:rPr>
                <w:rFonts w:ascii="DeutscheBank" w:hAnsi="DeutscheBank"/>
                <w:lang w:val="en-GB"/>
              </w:rPr>
            </w:pPr>
            <w:r w:rsidRPr="001E5405">
              <w:rPr>
                <w:rFonts w:ascii="DeutscheBank" w:hAnsi="DeutscheBank"/>
                <w:color w:val="5A6472"/>
                <w:sz w:val="16"/>
                <w:szCs w:val="16"/>
                <w:lang w:val="en-GB"/>
              </w:rPr>
              <w:t>report large or very large friction</w:t>
            </w:r>
          </w:p>
        </w:tc>
        <w:tc>
          <w:tcPr>
            <w:tcW w:w="41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0545D8D3" w14:textId="41576998" w:rsidR="00F0710C" w:rsidRPr="001E5405" w:rsidRDefault="00F0710C" w:rsidP="00F0710C">
            <w:pPr>
              <w:spacing w:after="40"/>
              <w:jc w:val="both"/>
              <w:rPr>
                <w:rFonts w:ascii="DeutscheBank" w:hAnsi="DeutscheBank"/>
                <w:lang w:val="en-GB"/>
              </w:rPr>
            </w:pPr>
            <w:r w:rsidRPr="16BC70EF">
              <w:rPr>
                <w:rFonts w:ascii="DeutscheBank" w:hAnsi="DeutscheBank"/>
                <w:b/>
                <w:color w:val="0069B1" w:themeColor="accent2"/>
                <w:sz w:val="30"/>
                <w:szCs w:val="30"/>
                <w:lang w:val="en-GB"/>
              </w:rPr>
              <w:t>20%</w:t>
            </w:r>
          </w:p>
          <w:p w14:paraId="08CFD572" w14:textId="1164DA6B" w:rsidR="0008751D" w:rsidRPr="001E5405" w:rsidRDefault="00F0710C" w:rsidP="002B3C12">
            <w:pPr>
              <w:rPr>
                <w:rFonts w:ascii="DeutscheBank" w:hAnsi="DeutscheBank"/>
                <w:lang w:val="en-GB"/>
              </w:rPr>
            </w:pPr>
            <w:r w:rsidRPr="001E5405">
              <w:rPr>
                <w:rFonts w:ascii="DeutscheBank" w:hAnsi="DeutscheBank"/>
                <w:color w:val="5A6472"/>
                <w:sz w:val="16"/>
                <w:szCs w:val="16"/>
                <w:lang w:val="en-GB"/>
              </w:rPr>
              <w:t>experience Europe as fully unified</w:t>
            </w:r>
            <w:r w:rsidRPr="47163E79">
              <w:rPr>
                <w:rFonts w:ascii="DeutscheBank" w:hAnsi="DeutscheBank"/>
                <w:b/>
                <w:color w:val="0069B1" w:themeColor="accent2"/>
                <w:sz w:val="30"/>
                <w:szCs w:val="30"/>
                <w:lang w:val="en-GB"/>
              </w:rPr>
              <w:t xml:space="preserve"> </w:t>
            </w:r>
          </w:p>
        </w:tc>
      </w:tr>
    </w:tbl>
    <w:p w14:paraId="26B58649" w14:textId="77777777" w:rsidR="0008751D" w:rsidRPr="001E5405" w:rsidRDefault="0008751D" w:rsidP="0008751D">
      <w:pPr>
        <w:spacing w:after="80"/>
        <w:jc w:val="both"/>
        <w:rPr>
          <w:rFonts w:ascii="DeutscheBank" w:hAnsi="DeutscheBank"/>
          <w:lang w:val="en-GB"/>
        </w:rPr>
      </w:pPr>
    </w:p>
    <w:p w14:paraId="1CED76F0" w14:textId="4E084CD5" w:rsidR="0008751D" w:rsidRPr="00BB676A" w:rsidRDefault="009F5395" w:rsidP="00AA76E2">
      <w:pPr>
        <w:pStyle w:val="Heading2"/>
        <w:rPr>
          <w:rFonts w:ascii="DeutscheBank" w:hAnsi="DeutscheBank"/>
          <w:color w:val="000000" w:themeColor="text1"/>
          <w:sz w:val="20"/>
          <w:szCs w:val="20"/>
          <w:lang w:val="en-GB"/>
        </w:rPr>
      </w:pPr>
      <w:r>
        <w:rPr>
          <w:rFonts w:ascii="DeutscheBank" w:hAnsi="DeutscheBank"/>
          <w:color w:val="000000" w:themeColor="text1"/>
          <w:sz w:val="20"/>
          <w:szCs w:val="20"/>
          <w:lang w:val="en-GB"/>
        </w:rPr>
        <w:t>A single market that is not yet seamless</w:t>
      </w:r>
    </w:p>
    <w:p w14:paraId="5CF8958D" w14:textId="4E8AAE44" w:rsidR="0008751D" w:rsidRPr="00BB676A" w:rsidRDefault="0008751D" w:rsidP="00AA76E2">
      <w:pPr>
        <w:spacing w:after="150" w:line="288" w:lineRule="auto"/>
        <w:rPr>
          <w:rFonts w:ascii="DeutscheBank" w:hAnsi="DeutscheBank"/>
          <w:sz w:val="20"/>
          <w:szCs w:val="20"/>
          <w:lang w:val="en-GB"/>
        </w:rPr>
      </w:pPr>
      <w:r w:rsidRPr="00BB676A">
        <w:rPr>
          <w:rFonts w:ascii="DeutscheBank" w:hAnsi="DeutscheBank"/>
          <w:sz w:val="20"/>
          <w:szCs w:val="20"/>
          <w:lang w:val="en-GB"/>
        </w:rPr>
        <w:t xml:space="preserve">The verdict on integration is positive but qualified. On a four-point scale, 20 percent of respondents see Europe as </w:t>
      </w:r>
      <w:r w:rsidR="35F6D7BE" w:rsidRPr="47163E79">
        <w:rPr>
          <w:rFonts w:ascii="DeutscheBank" w:hAnsi="DeutscheBank"/>
          <w:sz w:val="20"/>
          <w:szCs w:val="20"/>
          <w:lang w:val="en-GB"/>
        </w:rPr>
        <w:t xml:space="preserve">a </w:t>
      </w:r>
      <w:r w:rsidRPr="00BB676A">
        <w:rPr>
          <w:rFonts w:ascii="DeutscheBank" w:hAnsi="DeutscheBank"/>
          <w:sz w:val="20"/>
          <w:szCs w:val="20"/>
          <w:lang w:val="en-GB"/>
        </w:rPr>
        <w:t xml:space="preserve">unified </w:t>
      </w:r>
      <w:r w:rsidR="74DB7235" w:rsidRPr="47163E79">
        <w:rPr>
          <w:rFonts w:ascii="DeutscheBank" w:hAnsi="DeutscheBank"/>
          <w:sz w:val="20"/>
          <w:szCs w:val="20"/>
          <w:lang w:val="en-GB"/>
        </w:rPr>
        <w:t>market,</w:t>
      </w:r>
      <w:r w:rsidR="20B5588D" w:rsidRPr="47163E79">
        <w:rPr>
          <w:rFonts w:ascii="DeutscheBank" w:hAnsi="DeutscheBank"/>
          <w:sz w:val="20"/>
          <w:szCs w:val="20"/>
          <w:lang w:val="en-GB"/>
        </w:rPr>
        <w:t xml:space="preserve"> </w:t>
      </w:r>
      <w:r w:rsidRPr="00BB676A">
        <w:rPr>
          <w:rFonts w:ascii="DeutscheBank" w:hAnsi="DeutscheBank"/>
          <w:sz w:val="20"/>
          <w:szCs w:val="20"/>
          <w:lang w:val="en-GB"/>
        </w:rPr>
        <w:t>and a further 42 percent</w:t>
      </w:r>
      <w:r w:rsidR="20B5588D" w:rsidRPr="47163E79">
        <w:rPr>
          <w:rFonts w:ascii="DeutscheBank" w:hAnsi="DeutscheBank"/>
          <w:sz w:val="20"/>
          <w:szCs w:val="20"/>
          <w:lang w:val="en-GB"/>
        </w:rPr>
        <w:t xml:space="preserve"> </w:t>
      </w:r>
      <w:r w:rsidR="627D0993" w:rsidRPr="47163E79">
        <w:rPr>
          <w:rFonts w:ascii="DeutscheBank" w:hAnsi="DeutscheBank"/>
          <w:sz w:val="20"/>
          <w:szCs w:val="20"/>
          <w:lang w:val="en-GB"/>
        </w:rPr>
        <w:t>see it</w:t>
      </w:r>
      <w:r w:rsidRPr="00BB676A">
        <w:rPr>
          <w:rFonts w:ascii="DeutscheBank" w:hAnsi="DeutscheBank"/>
          <w:sz w:val="20"/>
          <w:szCs w:val="20"/>
          <w:lang w:val="en-GB"/>
        </w:rPr>
        <w:t xml:space="preserve"> as mostly unified</w:t>
      </w:r>
      <w:r w:rsidR="00E03537" w:rsidRPr="00E03537">
        <w:rPr>
          <w:rFonts w:ascii="DeutscheBank" w:hAnsi="DeutscheBank"/>
          <w:sz w:val="20"/>
          <w:szCs w:val="20"/>
          <w:lang w:val="en-GB"/>
        </w:rPr>
        <w:t>.</w:t>
      </w:r>
      <w:r w:rsidR="00E03537">
        <w:rPr>
          <w:rFonts w:ascii="DeutscheBank" w:hAnsi="DeutscheBank"/>
          <w:sz w:val="20"/>
          <w:szCs w:val="20"/>
          <w:lang w:val="en-GB"/>
        </w:rPr>
        <w:t xml:space="preserve"> </w:t>
      </w:r>
      <w:r w:rsidRPr="00BB676A">
        <w:rPr>
          <w:rFonts w:ascii="DeutscheBank" w:hAnsi="DeutscheBank"/>
          <w:sz w:val="20"/>
          <w:szCs w:val="20"/>
          <w:lang w:val="en-GB"/>
        </w:rPr>
        <w:t>On the other side, 30 percent see Europe as mostly fragmented and 8 percent as fully fragmented. The promise of the single market is clearly visible; seamless delivery is not.</w:t>
      </w:r>
    </w:p>
    <w:p w14:paraId="478E1D2F" w14:textId="2E69C439" w:rsidR="0008751D" w:rsidRPr="00BB676A" w:rsidRDefault="0008751D" w:rsidP="00AA76E2">
      <w:pPr>
        <w:spacing w:after="150" w:line="288" w:lineRule="auto"/>
        <w:rPr>
          <w:rFonts w:ascii="DeutscheBank" w:hAnsi="DeutscheBank"/>
          <w:sz w:val="20"/>
          <w:szCs w:val="20"/>
          <w:lang w:val="en-GB"/>
        </w:rPr>
      </w:pPr>
      <w:r w:rsidRPr="371D15A3">
        <w:rPr>
          <w:rFonts w:ascii="DeutscheBank" w:hAnsi="DeutscheBank"/>
          <w:sz w:val="20"/>
          <w:szCs w:val="20"/>
          <w:lang w:val="en-GB"/>
        </w:rPr>
        <w:t xml:space="preserve">Perceptions of European unity are strongest in the Americas, where 69 percent view the region as </w:t>
      </w:r>
      <w:r w:rsidR="06F6249B" w:rsidRPr="371D15A3">
        <w:rPr>
          <w:rFonts w:ascii="DeutscheBank" w:hAnsi="DeutscheBank"/>
          <w:sz w:val="20"/>
          <w:szCs w:val="20"/>
          <w:lang w:val="en-GB"/>
        </w:rPr>
        <w:t>unified</w:t>
      </w:r>
      <w:r w:rsidRPr="371D15A3">
        <w:rPr>
          <w:rFonts w:ascii="DeutscheBank" w:hAnsi="DeutscheBank"/>
          <w:sz w:val="20"/>
          <w:szCs w:val="20"/>
          <w:lang w:val="en-GB"/>
        </w:rPr>
        <w:t xml:space="preserve"> or </w:t>
      </w:r>
      <w:r w:rsidR="4B5D7E38" w:rsidRPr="371D15A3">
        <w:rPr>
          <w:rFonts w:ascii="DeutscheBank" w:hAnsi="DeutscheBank"/>
          <w:sz w:val="20"/>
          <w:szCs w:val="20"/>
          <w:lang w:val="en-GB"/>
        </w:rPr>
        <w:t>mostly</w:t>
      </w:r>
      <w:r w:rsidR="1A0921C3" w:rsidRPr="371D15A3">
        <w:rPr>
          <w:rFonts w:ascii="DeutscheBank" w:hAnsi="DeutscheBank"/>
          <w:sz w:val="20"/>
          <w:szCs w:val="20"/>
          <w:lang w:val="en-GB"/>
        </w:rPr>
        <w:t xml:space="preserve"> </w:t>
      </w:r>
      <w:r w:rsidR="02D949B2" w:rsidRPr="371D15A3">
        <w:rPr>
          <w:rFonts w:ascii="DeutscheBank" w:hAnsi="DeutscheBank"/>
          <w:sz w:val="20"/>
          <w:szCs w:val="20"/>
          <w:lang w:val="en-GB"/>
        </w:rPr>
        <w:t xml:space="preserve">unified. </w:t>
      </w:r>
      <w:r w:rsidR="3DD9E2B8" w:rsidRPr="371D15A3">
        <w:rPr>
          <w:rFonts w:ascii="DeutscheBank" w:hAnsi="DeutscheBank"/>
          <w:sz w:val="20"/>
          <w:szCs w:val="20"/>
          <w:lang w:val="en-GB"/>
        </w:rPr>
        <w:t>In the Middle East, the share is 60 percent and, in APAC,</w:t>
      </w:r>
      <w:r w:rsidRPr="371D15A3">
        <w:rPr>
          <w:rFonts w:ascii="DeutscheBank" w:hAnsi="DeutscheBank"/>
          <w:sz w:val="20"/>
          <w:szCs w:val="20"/>
          <w:lang w:val="en-GB"/>
        </w:rPr>
        <w:t xml:space="preserve"> 58 percent. No region sees Europe as fully seamless, and the pattern holds across company sizes and investment stages. </w:t>
      </w:r>
      <w:r w:rsidR="02D949B2" w:rsidRPr="371D15A3">
        <w:rPr>
          <w:rFonts w:ascii="DeutscheBank" w:hAnsi="DeutscheBank"/>
          <w:sz w:val="20"/>
          <w:szCs w:val="20"/>
          <w:lang w:val="en-GB"/>
        </w:rPr>
        <w:t>The</w:t>
      </w:r>
      <w:r w:rsidR="5357BF69" w:rsidRPr="371D15A3">
        <w:rPr>
          <w:rFonts w:ascii="DeutscheBank" w:hAnsi="DeutscheBank"/>
          <w:sz w:val="20"/>
          <w:szCs w:val="20"/>
          <w:lang w:val="en-GB"/>
        </w:rPr>
        <w:t xml:space="preserve"> implication is clear: </w:t>
      </w:r>
      <w:r w:rsidRPr="371D15A3">
        <w:rPr>
          <w:rFonts w:ascii="DeutscheBank" w:hAnsi="DeutscheBank"/>
          <w:sz w:val="20"/>
          <w:szCs w:val="20"/>
          <w:lang w:val="en-GB"/>
        </w:rPr>
        <w:t xml:space="preserve">completing the single market would not create Europe's appeal from </w:t>
      </w:r>
      <w:r w:rsidR="7CAF48E7" w:rsidRPr="371D15A3">
        <w:rPr>
          <w:rFonts w:ascii="DeutscheBank" w:hAnsi="DeutscheBank"/>
          <w:sz w:val="20"/>
          <w:szCs w:val="20"/>
          <w:lang w:val="en-GB"/>
        </w:rPr>
        <w:t>scratch</w:t>
      </w:r>
      <w:r w:rsidRPr="371D15A3">
        <w:rPr>
          <w:rFonts w:ascii="DeutscheBank" w:hAnsi="DeutscheBank"/>
          <w:sz w:val="20"/>
          <w:szCs w:val="20"/>
          <w:lang w:val="en-GB"/>
        </w:rPr>
        <w:t>; it would unlock appeal that already exists but</w:t>
      </w:r>
      <w:r w:rsidR="3CF80A64" w:rsidRPr="371D15A3">
        <w:rPr>
          <w:rFonts w:ascii="DeutscheBank" w:hAnsi="DeutscheBank"/>
          <w:sz w:val="20"/>
          <w:szCs w:val="20"/>
          <w:lang w:val="en-GB"/>
        </w:rPr>
        <w:t xml:space="preserve"> remains constrained by lingering</w:t>
      </w:r>
      <w:r w:rsidRPr="371D15A3">
        <w:rPr>
          <w:rFonts w:ascii="DeutscheBank" w:hAnsi="DeutscheBank"/>
          <w:sz w:val="20"/>
          <w:szCs w:val="20"/>
          <w:lang w:val="en-GB"/>
        </w:rPr>
        <w:t xml:space="preserve"> barriers.</w:t>
      </w:r>
    </w:p>
    <w:p w14:paraId="3202818C" w14:textId="0863DCA0" w:rsidR="0008751D" w:rsidRPr="000B0F05" w:rsidRDefault="0008751D" w:rsidP="0008751D">
      <w:pPr>
        <w:pStyle w:val="Caption"/>
        <w:rPr>
          <w:rFonts w:ascii="DeutscheBank" w:eastAsia="Arial" w:hAnsi="DeutscheBank" w:cs="Arial"/>
          <w:lang w:val="en-GB" w:eastAsia="de-DE"/>
          <w14:ligatures w14:val="none"/>
        </w:rPr>
      </w:pPr>
      <w:r w:rsidRPr="47163E79">
        <w:rPr>
          <w:rFonts w:ascii="DeutscheBank" w:eastAsia="Arial" w:hAnsi="DeutscheBank" w:cs="Arial"/>
          <w:lang w:val="en-GB" w:eastAsia="de-DE"/>
          <w14:ligatures w14:val="none"/>
        </w:rPr>
        <w:t>Figure 1</w:t>
      </w:r>
      <w:r w:rsidR="4CFCF93B" w:rsidRPr="47163E79">
        <w:rPr>
          <w:rFonts w:ascii="DeutscheBank" w:eastAsia="Arial" w:hAnsi="DeutscheBank" w:cs="Arial"/>
          <w:lang w:val="en-GB" w:eastAsia="de-DE"/>
        </w:rPr>
        <w:t>5</w:t>
      </w:r>
      <w:r w:rsidRPr="47163E79">
        <w:rPr>
          <w:rFonts w:ascii="DeutscheBank" w:eastAsia="Arial" w:hAnsi="DeutscheBank" w:cs="Arial"/>
          <w:lang w:val="en-GB" w:eastAsia="de-DE"/>
        </w:rPr>
        <w:t>: Europe viewed as a unified or fragmented market</w:t>
      </w:r>
    </w:p>
    <w:p w14:paraId="253099CC" w14:textId="77777777" w:rsidR="0008751D" w:rsidRPr="00D55D08" w:rsidRDefault="0008751D" w:rsidP="0008751D">
      <w:pPr>
        <w:pStyle w:val="Copy"/>
        <w:rPr>
          <w:rFonts w:ascii="DeutscheBank" w:hAnsi="DeutscheBank"/>
          <w:szCs w:val="20"/>
          <w:lang w:val="en-GB"/>
        </w:rPr>
      </w:pPr>
      <w:r>
        <w:rPr>
          <w:rFonts w:ascii="DeutscheBank" w:hAnsi="DeutscheBank"/>
          <w:szCs w:val="20"/>
          <w:lang w:val="en-GB"/>
        </w:rPr>
        <w:t>Four-point scale</w:t>
      </w:r>
      <w:r w:rsidRPr="000B0F05">
        <w:rPr>
          <w:rFonts w:ascii="DeutscheBank" w:hAnsi="DeutscheBank"/>
          <w:szCs w:val="20"/>
          <w:lang w:val="en-GB"/>
        </w:rPr>
        <w:t xml:space="preserve"> </w:t>
      </w:r>
      <w:r>
        <w:rPr>
          <w:rFonts w:ascii="DeutscheBank" w:eastAsia="Arial" w:hAnsi="DeutscheBank" w:cs="Arial"/>
          <w:color w:val="222222"/>
          <w:szCs w:val="20"/>
          <w:lang w:val="en-GB" w:eastAsia="de-DE"/>
          <w14:ligatures w14:val="none"/>
        </w:rPr>
        <w:t>(all respondents)</w:t>
      </w:r>
    </w:p>
    <w:p w14:paraId="5488FAF4" w14:textId="77777777" w:rsidR="0008751D" w:rsidRPr="001E5405" w:rsidRDefault="0008751D" w:rsidP="0008751D">
      <w:pPr>
        <w:keepNext/>
        <w:spacing w:before="140" w:after="40"/>
        <w:jc w:val="center"/>
        <w:rPr>
          <w:rFonts w:ascii="DeutscheBank" w:hAnsi="DeutscheBank"/>
        </w:rPr>
      </w:pPr>
      <w:r>
        <w:rPr>
          <w:noProof/>
        </w:rPr>
        <w:drawing>
          <wp:inline distT="0" distB="0" distL="0" distR="0" wp14:anchorId="73300773" wp14:editId="70F755D9">
            <wp:extent cx="3771900" cy="2214028"/>
            <wp:effectExtent l="0" t="0" r="0" b="0"/>
            <wp:docPr id="1006917198" name="fig18" descr="Donut chart shows market-structure perception across four categories. Navy blue segments represent Mostly unified at 42%, blue Mostly fragmented at 30%, dark blue Unified market at 20%, and light blue Fragmented markets at 8%, with Mostly unified as largest seg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917198" name="fig18" descr="Donut chart shows market-structure perception across four categories. Navy blue segments represent Mostly unified at 42%, blue Mostly fragmented at 30%, dark blue Unified market at 20%, and light blue Fragmented markets at 8%, with Mostly unified as largest segment."/>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3796490" cy="2228462"/>
                    </a:xfrm>
                    <a:prstGeom prst="rect">
                      <a:avLst/>
                    </a:prstGeom>
                  </pic:spPr>
                </pic:pic>
              </a:graphicData>
            </a:graphic>
          </wp:inline>
        </w:drawing>
      </w:r>
    </w:p>
    <w:p w14:paraId="373AE6DE" w14:textId="1843FDF0" w:rsidR="041E5C19" w:rsidRDefault="041E5C19" w:rsidP="041E5C19">
      <w:pPr>
        <w:spacing w:after="180"/>
        <w:jc w:val="both"/>
        <w:rPr>
          <w:rFonts w:ascii="DeutscheBank" w:hAnsi="DeutscheBank"/>
          <w:b/>
          <w:bCs/>
          <w:color w:val="000000" w:themeColor="text1"/>
          <w:sz w:val="16"/>
          <w:szCs w:val="16"/>
          <w:lang w:val="en-GB"/>
        </w:rPr>
      </w:pPr>
    </w:p>
    <w:p w14:paraId="2610464C" w14:textId="77777777" w:rsidR="0008751D" w:rsidRDefault="0008751D" w:rsidP="0008751D">
      <w:pPr>
        <w:spacing w:after="180"/>
        <w:jc w:val="both"/>
        <w:rPr>
          <w:rFonts w:ascii="DeutscheBank" w:hAnsi="DeutscheBank"/>
          <w:color w:val="000000" w:themeColor="text1"/>
          <w:sz w:val="16"/>
          <w:szCs w:val="16"/>
          <w:lang w:val="en-GB"/>
        </w:rPr>
      </w:pPr>
      <w:r w:rsidRPr="000B0F05">
        <w:rPr>
          <w:rFonts w:ascii="DeutscheBank" w:hAnsi="DeutscheBank"/>
          <w:b/>
          <w:bCs/>
          <w:color w:val="000000" w:themeColor="text1"/>
          <w:sz w:val="16"/>
          <w:szCs w:val="16"/>
          <w:lang w:val="en-GB"/>
        </w:rPr>
        <w:t xml:space="preserve">Source: </w:t>
      </w:r>
      <w:r w:rsidRPr="000B0F05">
        <w:rPr>
          <w:rFonts w:ascii="DeutscheBank" w:hAnsi="DeutscheBank"/>
          <w:color w:val="000000" w:themeColor="text1"/>
          <w:sz w:val="16"/>
          <w:szCs w:val="16"/>
          <w:lang w:val="en-GB"/>
        </w:rPr>
        <w:t>Global Sentiment Survey on Europe 2026, B2B online survey. Base: all respondents, n = 1,200</w:t>
      </w:r>
    </w:p>
    <w:p w14:paraId="59659B6A" w14:textId="77777777" w:rsidR="0008751D" w:rsidRDefault="0008751D" w:rsidP="0008751D">
      <w:pPr>
        <w:rPr>
          <w:rFonts w:ascii="DeutscheBank" w:hAnsi="DeutscheBank"/>
          <w:b/>
          <w:bCs/>
          <w:color w:val="000000" w:themeColor="text1"/>
          <w:sz w:val="20"/>
          <w:szCs w:val="20"/>
          <w:lang w:val="en-GB"/>
        </w:rPr>
      </w:pPr>
      <w:r>
        <w:rPr>
          <w:rFonts w:ascii="DeutscheBank" w:hAnsi="DeutscheBank"/>
          <w:bCs/>
          <w:iCs/>
          <w:szCs w:val="20"/>
          <w:lang w:val="en-GB"/>
        </w:rPr>
        <w:br w:type="page"/>
      </w:r>
    </w:p>
    <w:p w14:paraId="2A080820" w14:textId="78380E8D" w:rsidR="0008751D" w:rsidRPr="000B0F05" w:rsidRDefault="0008751D" w:rsidP="0008751D">
      <w:pPr>
        <w:pStyle w:val="Caption"/>
        <w:rPr>
          <w:rFonts w:ascii="DeutscheBank" w:eastAsia="Arial" w:hAnsi="DeutscheBank" w:cs="Arial"/>
          <w:lang w:val="en-GB" w:eastAsia="de-DE"/>
          <w14:ligatures w14:val="none"/>
        </w:rPr>
      </w:pPr>
      <w:r w:rsidRPr="47163E79">
        <w:rPr>
          <w:rFonts w:ascii="DeutscheBank" w:eastAsia="Arial" w:hAnsi="DeutscheBank" w:cs="Arial"/>
          <w:lang w:val="en-GB" w:eastAsia="de-DE"/>
          <w14:ligatures w14:val="none"/>
        </w:rPr>
        <w:lastRenderedPageBreak/>
        <w:t xml:space="preserve">Figure </w:t>
      </w:r>
      <w:r w:rsidR="20B5588D" w:rsidRPr="47163E79">
        <w:rPr>
          <w:rFonts w:ascii="DeutscheBank" w:eastAsia="Arial" w:hAnsi="DeutscheBank" w:cs="Arial"/>
          <w:lang w:val="en-GB" w:eastAsia="de-DE"/>
          <w14:ligatures w14:val="none"/>
        </w:rPr>
        <w:t>1</w:t>
      </w:r>
      <w:r w:rsidR="20D89B7B" w:rsidRPr="47163E79">
        <w:rPr>
          <w:rFonts w:ascii="DeutscheBank" w:eastAsia="Arial" w:hAnsi="DeutscheBank" w:cs="Arial"/>
          <w:lang w:val="en-GB" w:eastAsia="de-DE"/>
        </w:rPr>
        <w:t>6</w:t>
      </w:r>
      <w:r w:rsidRPr="47163E79">
        <w:rPr>
          <w:rFonts w:ascii="DeutscheBank" w:eastAsia="Arial" w:hAnsi="DeutscheBank" w:cs="Arial"/>
          <w:lang w:val="en-GB" w:eastAsia="de-DE"/>
        </w:rPr>
        <w:t>: Europe viewed as a unified or fragmented market by region</w:t>
      </w:r>
    </w:p>
    <w:p w14:paraId="112C8C91" w14:textId="0262179B" w:rsidR="0008751D" w:rsidRPr="00D55D08" w:rsidRDefault="0008751D" w:rsidP="0008751D">
      <w:pPr>
        <w:pStyle w:val="Copy"/>
        <w:rPr>
          <w:rFonts w:ascii="DeutscheBank" w:hAnsi="DeutscheBank"/>
          <w:lang w:val="en-GB"/>
        </w:rPr>
      </w:pPr>
      <w:r w:rsidRPr="041E5C19">
        <w:rPr>
          <w:rFonts w:ascii="DeutscheBank" w:eastAsia="Arial" w:hAnsi="DeutscheBank" w:cs="Arial"/>
          <w:color w:val="222222"/>
          <w:lang w:val="en-GB" w:eastAsia="de-DE"/>
        </w:rPr>
        <w:t>(</w:t>
      </w:r>
      <w:r w:rsidR="64DB9C5F" w:rsidRPr="041E5C19">
        <w:rPr>
          <w:rFonts w:ascii="DeutscheBank" w:eastAsia="Arial" w:hAnsi="DeutscheBank" w:cs="Arial"/>
          <w:color w:val="222222"/>
          <w:lang w:val="en-GB" w:eastAsia="de-DE"/>
        </w:rPr>
        <w:t>A</w:t>
      </w:r>
      <w:r w:rsidRPr="041E5C19">
        <w:rPr>
          <w:rFonts w:ascii="DeutscheBank" w:eastAsia="Arial" w:hAnsi="DeutscheBank" w:cs="Arial"/>
          <w:color w:val="222222"/>
          <w:lang w:val="en-GB" w:eastAsia="de-DE"/>
        </w:rPr>
        <w:t>ll respondents)</w:t>
      </w:r>
    </w:p>
    <w:p w14:paraId="75196174" w14:textId="77777777" w:rsidR="0008751D" w:rsidRPr="001E5405" w:rsidRDefault="0008751D" w:rsidP="0008751D">
      <w:pPr>
        <w:keepNext/>
        <w:spacing w:before="140" w:after="40"/>
        <w:jc w:val="center"/>
        <w:rPr>
          <w:rFonts w:ascii="DeutscheBank" w:hAnsi="DeutscheBank"/>
        </w:rPr>
      </w:pPr>
      <w:r w:rsidRPr="001E5405">
        <w:rPr>
          <w:rFonts w:ascii="DeutscheBank" w:hAnsi="DeutscheBank"/>
          <w:noProof/>
        </w:rPr>
        <w:drawing>
          <wp:inline distT="0" distB="0" distL="0" distR="0" wp14:anchorId="10E47C1A" wp14:editId="6A7BA313">
            <wp:extent cx="3965511" cy="2159000"/>
            <wp:effectExtent l="0" t="0" r="0" b="0"/>
            <wp:docPr id="1578414249" name="fig19" descr="Chart compares how Europe is percepted as a unified or fragmented market by region. Dark-blue Unified shares are Overall 20%, APAC 15%, Middel East 27%, and Americas 23%, while medium-blue Mostly Unified shares are 42% Overall, 43% APAC, 33% Middle East, and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414249" name="fig19" descr="Chart compares how Europe is percepted as a unified or fragmented market by region. Dark-blue Unified shares are Overall 20%, APAC 15%, Middel East 27%, and Americas 23%, while medium-blue Mostly Unified shares are 42% Overall, 43% APAC, 33% Middle East, and 46%."/>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3985489" cy="2169877"/>
                    </a:xfrm>
                    <a:prstGeom prst="rect">
                      <a:avLst/>
                    </a:prstGeom>
                  </pic:spPr>
                </pic:pic>
              </a:graphicData>
            </a:graphic>
          </wp:inline>
        </w:drawing>
      </w:r>
    </w:p>
    <w:p w14:paraId="69BC839E" w14:textId="77777777" w:rsidR="0008751D" w:rsidRPr="00EC64E2" w:rsidRDefault="0008751D" w:rsidP="0008751D">
      <w:pPr>
        <w:spacing w:after="180"/>
        <w:rPr>
          <w:rFonts w:ascii="DeutscheBank" w:hAnsi="DeutscheBank"/>
          <w:color w:val="000000" w:themeColor="text1"/>
          <w:sz w:val="16"/>
          <w:szCs w:val="16"/>
          <w:lang w:val="en-GB"/>
        </w:rPr>
      </w:pPr>
      <w:r w:rsidRPr="000B0F05">
        <w:rPr>
          <w:rFonts w:ascii="DeutscheBank" w:hAnsi="DeutscheBank"/>
          <w:b/>
          <w:bCs/>
          <w:color w:val="000000" w:themeColor="text1"/>
          <w:sz w:val="16"/>
          <w:szCs w:val="16"/>
          <w:lang w:val="en-GB"/>
        </w:rPr>
        <w:t xml:space="preserve">Source: </w:t>
      </w:r>
      <w:r w:rsidRPr="000B0F05">
        <w:rPr>
          <w:rFonts w:ascii="DeutscheBank" w:hAnsi="DeutscheBank"/>
          <w:color w:val="000000" w:themeColor="text1"/>
          <w:sz w:val="16"/>
          <w:szCs w:val="16"/>
          <w:lang w:val="en-GB"/>
        </w:rPr>
        <w:t xml:space="preserve">Global Sentiment Survey on Europe 2026, B2B online survey. </w:t>
      </w:r>
      <w:r w:rsidRPr="00791E3F">
        <w:rPr>
          <w:rFonts w:ascii="DeutscheBank" w:hAnsi="DeutscheBank"/>
          <w:color w:val="000000" w:themeColor="text1"/>
          <w:sz w:val="16"/>
          <w:szCs w:val="16"/>
          <w:lang w:val="en-GB"/>
        </w:rPr>
        <w:t>Base:</w:t>
      </w:r>
      <w:r w:rsidRPr="00EC64E2">
        <w:rPr>
          <w:rFonts w:ascii="DeutscheBank" w:hAnsi="DeutscheBank"/>
          <w:color w:val="000000" w:themeColor="text1"/>
          <w:sz w:val="16"/>
          <w:szCs w:val="16"/>
          <w:lang w:val="en-GB"/>
        </w:rPr>
        <w:t xml:space="preserve"> n = 1,200 (APAC 600, Middle East 200, Americas 400)</w:t>
      </w:r>
    </w:p>
    <w:p w14:paraId="00123492" w14:textId="77777777" w:rsidR="0008751D" w:rsidRPr="001E5405" w:rsidRDefault="0008751D" w:rsidP="0008751D">
      <w:pPr>
        <w:spacing w:after="180"/>
        <w:jc w:val="both"/>
        <w:rPr>
          <w:rFonts w:ascii="DeutscheBank" w:hAnsi="DeutscheBank"/>
          <w:lang w:val="en-GB"/>
        </w:rPr>
      </w:pPr>
    </w:p>
    <w:p w14:paraId="5577754B" w14:textId="02684753" w:rsidR="0008751D" w:rsidRPr="00BB676A" w:rsidRDefault="0008751D" w:rsidP="00AA76E2">
      <w:pPr>
        <w:pStyle w:val="Heading2"/>
        <w:rPr>
          <w:rFonts w:ascii="DeutscheBank" w:hAnsi="DeutscheBank"/>
          <w:color w:val="000000" w:themeColor="text1"/>
          <w:sz w:val="20"/>
          <w:szCs w:val="20"/>
          <w:lang w:val="en-GB"/>
        </w:rPr>
      </w:pPr>
      <w:bookmarkStart w:id="45" w:name="_Toc239842207"/>
      <w:bookmarkStart w:id="46" w:name="_Toc239930545"/>
      <w:r w:rsidRPr="041E5C19">
        <w:rPr>
          <w:rFonts w:ascii="DeutscheBank" w:hAnsi="DeutscheBank"/>
          <w:color w:val="000000" w:themeColor="text1"/>
          <w:sz w:val="20"/>
          <w:szCs w:val="20"/>
          <w:lang w:val="en-GB"/>
        </w:rPr>
        <w:t>Cross-border friction</w:t>
      </w:r>
      <w:r w:rsidR="1929CBCC" w:rsidRPr="041E5C19">
        <w:rPr>
          <w:rFonts w:ascii="DeutscheBank" w:hAnsi="DeutscheBank"/>
          <w:color w:val="000000" w:themeColor="text1"/>
          <w:sz w:val="20"/>
          <w:szCs w:val="20"/>
          <w:lang w:val="en-GB"/>
        </w:rPr>
        <w:t>s</w:t>
      </w:r>
      <w:r w:rsidRPr="041E5C19">
        <w:rPr>
          <w:rFonts w:ascii="DeutscheBank" w:hAnsi="DeutscheBank"/>
          <w:color w:val="000000" w:themeColor="text1"/>
          <w:sz w:val="20"/>
          <w:szCs w:val="20"/>
          <w:lang w:val="en-GB"/>
        </w:rPr>
        <w:t xml:space="preserve"> </w:t>
      </w:r>
      <w:r w:rsidR="009F5395" w:rsidRPr="041E5C19">
        <w:rPr>
          <w:rFonts w:ascii="DeutscheBank" w:hAnsi="DeutscheBank"/>
          <w:color w:val="000000" w:themeColor="text1"/>
          <w:sz w:val="20"/>
          <w:szCs w:val="20"/>
          <w:lang w:val="en-GB"/>
        </w:rPr>
        <w:t xml:space="preserve">weaken investment </w:t>
      </w:r>
      <w:bookmarkEnd w:id="45"/>
      <w:bookmarkEnd w:id="46"/>
      <w:r w:rsidR="009F5395" w:rsidRPr="041E5C19">
        <w:rPr>
          <w:rFonts w:ascii="DeutscheBank" w:hAnsi="DeutscheBank"/>
          <w:color w:val="000000" w:themeColor="text1"/>
          <w:sz w:val="20"/>
          <w:szCs w:val="20"/>
          <w:lang w:val="en-GB"/>
        </w:rPr>
        <w:t>appeal</w:t>
      </w:r>
    </w:p>
    <w:p w14:paraId="5F072F40" w14:textId="73C885AB" w:rsidR="001D0440" w:rsidRPr="001D0440" w:rsidRDefault="0008751D" w:rsidP="001D0440">
      <w:pPr>
        <w:spacing w:after="150" w:line="288" w:lineRule="auto"/>
        <w:rPr>
          <w:rFonts w:ascii="DeutscheBank" w:hAnsi="DeutscheBank"/>
          <w:sz w:val="20"/>
          <w:szCs w:val="20"/>
          <w:lang w:val="en-US"/>
        </w:rPr>
      </w:pPr>
      <w:r w:rsidRPr="041E5C19">
        <w:rPr>
          <w:rFonts w:ascii="DeutscheBank" w:hAnsi="DeutscheBank"/>
          <w:sz w:val="20"/>
          <w:szCs w:val="20"/>
          <w:lang w:val="en-GB"/>
        </w:rPr>
        <w:t>Europe’s investment strengths are clear, but cross-border frictions continue to limit their full impact. 43 percent of</w:t>
      </w:r>
      <w:r w:rsidR="02D949B2" w:rsidRPr="041E5C19">
        <w:rPr>
          <w:rFonts w:ascii="DeutscheBank" w:hAnsi="DeutscheBank"/>
          <w:sz w:val="20"/>
          <w:szCs w:val="20"/>
          <w:lang w:val="en-GB"/>
        </w:rPr>
        <w:t xml:space="preserve"> </w:t>
      </w:r>
      <w:r w:rsidR="0D09D824" w:rsidRPr="041E5C19">
        <w:rPr>
          <w:rFonts w:ascii="DeutscheBank" w:hAnsi="DeutscheBank"/>
          <w:sz w:val="20"/>
          <w:szCs w:val="20"/>
          <w:lang w:val="en-GB"/>
        </w:rPr>
        <w:t>all</w:t>
      </w:r>
      <w:r w:rsidRPr="041E5C19">
        <w:rPr>
          <w:rFonts w:ascii="DeutscheBank" w:hAnsi="DeutscheBank"/>
          <w:sz w:val="20"/>
          <w:szCs w:val="20"/>
          <w:lang w:val="en-GB"/>
        </w:rPr>
        <w:t xml:space="preserve"> respondents say cross-border friction</w:t>
      </w:r>
      <w:r w:rsidR="293E2668" w:rsidRPr="041E5C19">
        <w:rPr>
          <w:rFonts w:ascii="DeutscheBank" w:hAnsi="DeutscheBank"/>
          <w:sz w:val="20"/>
          <w:szCs w:val="20"/>
          <w:lang w:val="en-GB"/>
        </w:rPr>
        <w:t>s</w:t>
      </w:r>
      <w:r w:rsidRPr="041E5C19">
        <w:rPr>
          <w:rFonts w:ascii="DeutscheBank" w:hAnsi="DeutscheBank"/>
          <w:sz w:val="20"/>
          <w:szCs w:val="20"/>
          <w:lang w:val="en-GB"/>
        </w:rPr>
        <w:t xml:space="preserve"> reduce Europe's attractiveness to a large or very large extent, a further 42 percent to some extent, and only around 15 percent see little or no impact. In total, about 85 percent feel at least some friction. </w:t>
      </w:r>
      <w:r w:rsidR="3FEE632C" w:rsidRPr="041E5C19">
        <w:rPr>
          <w:rFonts w:ascii="DeutscheBank" w:hAnsi="DeutscheBank"/>
          <w:sz w:val="20"/>
          <w:szCs w:val="20"/>
          <w:lang w:val="en-US"/>
        </w:rPr>
        <w:t>T</w:t>
      </w:r>
      <w:r w:rsidR="39B33295" w:rsidRPr="041E5C19">
        <w:rPr>
          <w:rFonts w:ascii="DeutscheBank" w:hAnsi="DeutscheBank"/>
          <w:sz w:val="20"/>
          <w:szCs w:val="20"/>
          <w:lang w:val="en-US"/>
        </w:rPr>
        <w:t xml:space="preserve">aken together, these cross-border frictions </w:t>
      </w:r>
      <w:r w:rsidR="3FEE632C" w:rsidRPr="041E5C19">
        <w:rPr>
          <w:rFonts w:ascii="DeutscheBank" w:hAnsi="DeutscheBank"/>
          <w:sz w:val="20"/>
          <w:szCs w:val="20"/>
          <w:lang w:val="en-US"/>
        </w:rPr>
        <w:t xml:space="preserve">are </w:t>
      </w:r>
      <w:r w:rsidRPr="041E5C19">
        <w:rPr>
          <w:rFonts w:ascii="DeutscheBank" w:hAnsi="DeutscheBank"/>
          <w:sz w:val="20"/>
          <w:szCs w:val="20"/>
          <w:lang w:val="en-US"/>
        </w:rPr>
        <w:t>the biggest</w:t>
      </w:r>
      <w:r w:rsidR="0D48B933" w:rsidRPr="041E5C19">
        <w:rPr>
          <w:rFonts w:ascii="DeutscheBank" w:hAnsi="DeutscheBank"/>
          <w:sz w:val="20"/>
          <w:szCs w:val="20"/>
          <w:lang w:val="en-US"/>
        </w:rPr>
        <w:t xml:space="preserve"> </w:t>
      </w:r>
      <w:r w:rsidR="3FEE632C" w:rsidRPr="041E5C19">
        <w:rPr>
          <w:rFonts w:ascii="DeutscheBank" w:hAnsi="DeutscheBank"/>
          <w:sz w:val="20"/>
          <w:szCs w:val="20"/>
          <w:lang w:val="en-US"/>
        </w:rPr>
        <w:t>obstacle to Europe's attractiveness.</w:t>
      </w:r>
    </w:p>
    <w:p w14:paraId="1D43E4DB" w14:textId="7EB60845" w:rsidR="0008751D" w:rsidRPr="00BB676A" w:rsidRDefault="0008751D" w:rsidP="00AA76E2">
      <w:pPr>
        <w:spacing w:after="150" w:line="288" w:lineRule="auto"/>
        <w:rPr>
          <w:rFonts w:ascii="DeutscheBank" w:hAnsi="DeutscheBank"/>
          <w:sz w:val="20"/>
          <w:szCs w:val="20"/>
          <w:lang w:val="en-GB"/>
        </w:rPr>
      </w:pPr>
      <w:r w:rsidRPr="041E5C19">
        <w:rPr>
          <w:rFonts w:ascii="DeutscheBank" w:hAnsi="DeutscheBank"/>
          <w:sz w:val="20"/>
          <w:szCs w:val="20"/>
          <w:lang w:val="en-GB"/>
        </w:rPr>
        <w:t>The burden is very unevenly felt. It is greatest in the Middle East, where 8</w:t>
      </w:r>
      <w:r w:rsidR="3BF6B7FE" w:rsidRPr="041E5C19">
        <w:rPr>
          <w:rFonts w:ascii="DeutscheBank" w:hAnsi="DeutscheBank"/>
          <w:sz w:val="20"/>
          <w:szCs w:val="20"/>
          <w:lang w:val="en-GB"/>
        </w:rPr>
        <w:t>6</w:t>
      </w:r>
      <w:r w:rsidRPr="041E5C19">
        <w:rPr>
          <w:rFonts w:ascii="DeutscheBank" w:hAnsi="DeutscheBank"/>
          <w:sz w:val="20"/>
          <w:szCs w:val="20"/>
          <w:lang w:val="en-GB"/>
        </w:rPr>
        <w:t xml:space="preserve"> percent report a large or very large impact, followed by the Americas at 49 percent, and in APAC at about 2</w:t>
      </w:r>
      <w:r w:rsidR="36E7DE04" w:rsidRPr="041E5C19">
        <w:rPr>
          <w:rFonts w:ascii="DeutscheBank" w:hAnsi="DeutscheBank"/>
          <w:sz w:val="20"/>
          <w:szCs w:val="20"/>
          <w:lang w:val="en-GB"/>
        </w:rPr>
        <w:t>6</w:t>
      </w:r>
      <w:r w:rsidRPr="041E5C19">
        <w:rPr>
          <w:rFonts w:ascii="DeutscheBank" w:hAnsi="DeutscheBank"/>
          <w:sz w:val="20"/>
          <w:szCs w:val="20"/>
          <w:lang w:val="en-GB"/>
        </w:rPr>
        <w:t xml:space="preserve"> percent. </w:t>
      </w:r>
      <w:r w:rsidR="02D949B2" w:rsidRPr="041E5C19">
        <w:rPr>
          <w:rFonts w:ascii="DeutscheBank" w:hAnsi="DeutscheBank"/>
          <w:sz w:val="20"/>
          <w:szCs w:val="20"/>
          <w:lang w:val="en-GB"/>
        </w:rPr>
        <w:t xml:space="preserve">The Middle East </w:t>
      </w:r>
      <w:r w:rsidR="74672938" w:rsidRPr="041E5C19">
        <w:rPr>
          <w:rFonts w:ascii="DeutscheBank" w:hAnsi="DeutscheBank"/>
          <w:sz w:val="20"/>
          <w:szCs w:val="20"/>
          <w:lang w:val="en-GB"/>
        </w:rPr>
        <w:t>responses show that Europe has many strengths but needs to work on improving the basic framework</w:t>
      </w:r>
      <w:r w:rsidR="0DE098C5" w:rsidRPr="041E5C19">
        <w:rPr>
          <w:rFonts w:ascii="DeutscheBank" w:hAnsi="DeutscheBank"/>
          <w:sz w:val="20"/>
          <w:szCs w:val="20"/>
          <w:lang w:val="en-GB"/>
        </w:rPr>
        <w:t>:</w:t>
      </w:r>
      <w:r w:rsidRPr="041E5C19">
        <w:rPr>
          <w:rFonts w:ascii="DeutscheBank" w:hAnsi="DeutscheBank"/>
          <w:sz w:val="20"/>
          <w:szCs w:val="20"/>
          <w:lang w:val="en-GB"/>
        </w:rPr>
        <w:t xml:space="preserve"> </w:t>
      </w:r>
      <w:r w:rsidR="329F4948" w:rsidRPr="041E5C19">
        <w:rPr>
          <w:rFonts w:ascii="DeutscheBank" w:hAnsi="DeutscheBank"/>
          <w:sz w:val="20"/>
          <w:szCs w:val="20"/>
          <w:lang w:val="en-GB"/>
        </w:rPr>
        <w:t xml:space="preserve"> the region </w:t>
      </w:r>
      <w:r w:rsidRPr="041E5C19">
        <w:rPr>
          <w:rFonts w:ascii="DeutscheBank" w:hAnsi="DeutscheBank"/>
          <w:sz w:val="20"/>
          <w:szCs w:val="20"/>
          <w:lang w:val="en-GB"/>
        </w:rPr>
        <w:t xml:space="preserve">is the most enthusiastic about Europe </w:t>
      </w:r>
      <w:r w:rsidR="06A19643" w:rsidRPr="041E5C19">
        <w:rPr>
          <w:rFonts w:ascii="DeutscheBank" w:hAnsi="DeutscheBank"/>
          <w:sz w:val="20"/>
          <w:szCs w:val="20"/>
          <w:lang w:val="en-GB"/>
        </w:rPr>
        <w:t xml:space="preserve">but at the same time </w:t>
      </w:r>
      <w:r w:rsidRPr="041E5C19">
        <w:rPr>
          <w:rFonts w:ascii="DeutscheBank" w:hAnsi="DeutscheBank"/>
          <w:sz w:val="20"/>
          <w:szCs w:val="20"/>
          <w:lang w:val="en-GB"/>
        </w:rPr>
        <w:t xml:space="preserve">the most critical on friction. </w:t>
      </w:r>
    </w:p>
    <w:p w14:paraId="73E5E9B2" w14:textId="406084D4" w:rsidR="0008751D" w:rsidRPr="000B0F05" w:rsidRDefault="0008751D" w:rsidP="0008751D">
      <w:pPr>
        <w:pStyle w:val="Caption"/>
        <w:rPr>
          <w:rFonts w:ascii="DeutscheBank" w:eastAsia="Arial" w:hAnsi="DeutscheBank" w:cs="Arial"/>
          <w:lang w:val="en-GB" w:eastAsia="de-DE"/>
          <w14:ligatures w14:val="none"/>
        </w:rPr>
      </w:pPr>
      <w:r w:rsidRPr="47163E79">
        <w:rPr>
          <w:rFonts w:ascii="DeutscheBank" w:eastAsia="Arial" w:hAnsi="DeutscheBank" w:cs="Arial"/>
          <w:lang w:val="en-GB" w:eastAsia="de-DE"/>
          <w14:ligatures w14:val="none"/>
        </w:rPr>
        <w:t xml:space="preserve">Figure </w:t>
      </w:r>
      <w:r w:rsidR="20B5588D" w:rsidRPr="47163E79">
        <w:rPr>
          <w:rFonts w:ascii="DeutscheBank" w:eastAsia="Arial" w:hAnsi="DeutscheBank" w:cs="Arial"/>
          <w:lang w:val="en-GB" w:eastAsia="de-DE"/>
          <w14:ligatures w14:val="none"/>
        </w:rPr>
        <w:t>1</w:t>
      </w:r>
      <w:r w:rsidR="34D572C5" w:rsidRPr="47163E79">
        <w:rPr>
          <w:rFonts w:ascii="DeutscheBank" w:eastAsia="Arial" w:hAnsi="DeutscheBank" w:cs="Arial"/>
          <w:lang w:val="en-GB" w:eastAsia="de-DE"/>
        </w:rPr>
        <w:t>7</w:t>
      </w:r>
      <w:r w:rsidRPr="47163E79">
        <w:rPr>
          <w:rFonts w:ascii="DeutscheBank" w:eastAsia="Arial" w:hAnsi="DeutscheBank" w:cs="Arial"/>
          <w:lang w:val="en-GB" w:eastAsia="de-DE"/>
        </w:rPr>
        <w:t>: Extent to which cross-border frictions reduce Europe's attractiveness</w:t>
      </w:r>
    </w:p>
    <w:p w14:paraId="56433F22" w14:textId="6460862C" w:rsidR="0008751D" w:rsidRPr="00D55D08" w:rsidRDefault="0008751D" w:rsidP="0008751D">
      <w:pPr>
        <w:pStyle w:val="Copy"/>
        <w:rPr>
          <w:rFonts w:ascii="DeutscheBank" w:hAnsi="DeutscheBank"/>
          <w:lang w:val="en-GB"/>
        </w:rPr>
      </w:pPr>
      <w:r w:rsidRPr="47163E79">
        <w:rPr>
          <w:rFonts w:ascii="DeutscheBank" w:eastAsia="Arial" w:hAnsi="DeutscheBank" w:cs="Arial"/>
          <w:color w:val="222222"/>
          <w:lang w:val="en-GB" w:eastAsia="de-DE"/>
          <w14:ligatures w14:val="none"/>
        </w:rPr>
        <w:t>(</w:t>
      </w:r>
      <w:r w:rsidR="06BD57CC" w:rsidRPr="3C04F8BB">
        <w:rPr>
          <w:rFonts w:ascii="DeutscheBank" w:eastAsia="Arial" w:hAnsi="DeutscheBank" w:cs="Arial"/>
          <w:color w:val="222222"/>
          <w:lang w:val="en-GB" w:eastAsia="de-DE"/>
        </w:rPr>
        <w:t>A</w:t>
      </w:r>
      <w:r w:rsidRPr="3C04F8BB" w:rsidDel="002B3C12">
        <w:rPr>
          <w:rFonts w:ascii="DeutscheBank" w:eastAsia="Arial" w:hAnsi="DeutscheBank" w:cs="Arial"/>
          <w:color w:val="222222"/>
          <w:lang w:val="en-GB" w:eastAsia="de-DE"/>
        </w:rPr>
        <w:t>ll respondents)</w:t>
      </w:r>
    </w:p>
    <w:p w14:paraId="27A95431" w14:textId="36440E61" w:rsidR="00347599" w:rsidRPr="00347599" w:rsidRDefault="00347599" w:rsidP="00347599">
      <w:pPr>
        <w:keepNext/>
        <w:spacing w:before="140" w:after="40"/>
        <w:jc w:val="center"/>
        <w:rPr>
          <w:rFonts w:ascii="DeutscheBank" w:hAnsi="DeutscheBank"/>
        </w:rPr>
      </w:pPr>
      <w:r w:rsidRPr="00347599">
        <w:rPr>
          <w:rFonts w:ascii="DeutscheBank" w:hAnsi="DeutscheBank"/>
          <w:noProof/>
        </w:rPr>
        <w:drawing>
          <wp:inline distT="0" distB="0" distL="0" distR="0" wp14:anchorId="6E4D5456" wp14:editId="76238AF5">
            <wp:extent cx="3816350" cy="2331782"/>
            <wp:effectExtent l="0" t="0" r="0" b="0"/>
            <wp:docPr id="1823190870" name="Grafik 28" descr="Donut chart showing survey responses to which cross-border frictions reduce Europe's attractiveness by extent category. Results: 42% some extent, 33% large extent, 13% small extent, 10% very large extent, and 2% not at all, with blue segments labeled by percent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190870" name="Grafik 28" descr="Donut chart showing survey responses to which cross-border frictions reduce Europe's attractiveness by extent category. Results: 42% some extent, 33% large extent, 13% small extent, 10% very large extent, and 2% not at all, with blue segments labeled by percentage.&#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34688" cy="2342986"/>
                    </a:xfrm>
                    <a:prstGeom prst="rect">
                      <a:avLst/>
                    </a:prstGeom>
                    <a:noFill/>
                    <a:ln>
                      <a:noFill/>
                    </a:ln>
                  </pic:spPr>
                </pic:pic>
              </a:graphicData>
            </a:graphic>
          </wp:inline>
        </w:drawing>
      </w:r>
    </w:p>
    <w:p w14:paraId="6CD9E3B9" w14:textId="260F9379" w:rsidR="0008751D" w:rsidRPr="001E5405" w:rsidRDefault="0008751D" w:rsidP="0008751D">
      <w:pPr>
        <w:keepNext/>
        <w:spacing w:before="140" w:after="40"/>
        <w:jc w:val="center"/>
        <w:rPr>
          <w:rFonts w:ascii="DeutscheBank" w:hAnsi="DeutscheBank"/>
        </w:rPr>
      </w:pPr>
    </w:p>
    <w:p w14:paraId="7E023161" w14:textId="77777777" w:rsidR="0008751D" w:rsidRDefault="0008751D" w:rsidP="0008751D">
      <w:pPr>
        <w:spacing w:after="180"/>
        <w:jc w:val="both"/>
        <w:rPr>
          <w:rFonts w:ascii="DeutscheBank" w:hAnsi="DeutscheBank"/>
          <w:color w:val="000000" w:themeColor="text1"/>
          <w:sz w:val="16"/>
          <w:szCs w:val="16"/>
          <w:lang w:val="en-GB"/>
        </w:rPr>
      </w:pPr>
      <w:r w:rsidRPr="000B0F05">
        <w:rPr>
          <w:rFonts w:ascii="DeutscheBank" w:hAnsi="DeutscheBank"/>
          <w:b/>
          <w:bCs/>
          <w:color w:val="000000" w:themeColor="text1"/>
          <w:sz w:val="16"/>
          <w:szCs w:val="16"/>
          <w:lang w:val="en-GB"/>
        </w:rPr>
        <w:t xml:space="preserve">Source: </w:t>
      </w:r>
      <w:r w:rsidRPr="000B0F05">
        <w:rPr>
          <w:rFonts w:ascii="DeutscheBank" w:hAnsi="DeutscheBank"/>
          <w:color w:val="000000" w:themeColor="text1"/>
          <w:sz w:val="16"/>
          <w:szCs w:val="16"/>
          <w:lang w:val="en-GB"/>
        </w:rPr>
        <w:t>Global Sentiment Survey on Europe 2026, B2B online survey. Base: all respondents, n = 1,200</w:t>
      </w:r>
    </w:p>
    <w:p w14:paraId="352D5C23" w14:textId="078ADBBA" w:rsidR="0008751D" w:rsidRPr="000B0F05" w:rsidRDefault="0008751D" w:rsidP="0008751D">
      <w:pPr>
        <w:pStyle w:val="Caption"/>
        <w:rPr>
          <w:rFonts w:ascii="DeutscheBank" w:eastAsia="Arial" w:hAnsi="DeutscheBank" w:cs="Arial"/>
          <w:lang w:val="en-GB" w:eastAsia="de-DE"/>
          <w14:ligatures w14:val="none"/>
        </w:rPr>
      </w:pPr>
      <w:r w:rsidRPr="47163E79">
        <w:rPr>
          <w:rFonts w:ascii="DeutscheBank" w:eastAsia="Arial" w:hAnsi="DeutscheBank" w:cs="Arial"/>
          <w:lang w:val="en-GB" w:eastAsia="de-DE"/>
          <w14:ligatures w14:val="none"/>
        </w:rPr>
        <w:lastRenderedPageBreak/>
        <w:t xml:space="preserve">Figure </w:t>
      </w:r>
      <w:r w:rsidR="78DD0006" w:rsidRPr="47163E79">
        <w:rPr>
          <w:rFonts w:ascii="DeutscheBank" w:eastAsia="Arial" w:hAnsi="DeutscheBank" w:cs="Arial"/>
          <w:lang w:val="en-GB" w:eastAsia="de-DE"/>
        </w:rPr>
        <w:t>18</w:t>
      </w:r>
      <w:r w:rsidRPr="47163E79">
        <w:rPr>
          <w:rFonts w:ascii="DeutscheBank" w:eastAsia="Arial" w:hAnsi="DeutscheBank" w:cs="Arial"/>
          <w:lang w:val="en-GB" w:eastAsia="de-DE"/>
        </w:rPr>
        <w:t>: Extent to which cross-border frictions reduce Europe's attractiveness</w:t>
      </w:r>
      <w:r w:rsidR="7BF71E70" w:rsidRPr="47163E79">
        <w:rPr>
          <w:rFonts w:ascii="DeutscheBank" w:eastAsia="Arial" w:hAnsi="DeutscheBank" w:cs="Arial"/>
          <w:lang w:val="en-GB" w:eastAsia="de-DE"/>
        </w:rPr>
        <w:t>,</w:t>
      </w:r>
      <w:r w:rsidRPr="47163E79">
        <w:rPr>
          <w:rFonts w:ascii="DeutscheBank" w:eastAsia="Arial" w:hAnsi="DeutscheBank" w:cs="Arial"/>
          <w:lang w:val="en-GB" w:eastAsia="de-DE"/>
        </w:rPr>
        <w:t xml:space="preserve"> by region</w:t>
      </w:r>
    </w:p>
    <w:p w14:paraId="283474F8" w14:textId="36CFC030" w:rsidR="0008751D" w:rsidRPr="00D55D08" w:rsidRDefault="11195F5F" w:rsidP="0008751D">
      <w:pPr>
        <w:pStyle w:val="Copy"/>
        <w:rPr>
          <w:rFonts w:ascii="DeutscheBank" w:hAnsi="DeutscheBank"/>
          <w:lang w:val="en-GB"/>
        </w:rPr>
      </w:pPr>
      <w:r w:rsidRPr="041E5C19">
        <w:rPr>
          <w:rFonts w:ascii="DeutscheBank" w:hAnsi="DeutscheBank"/>
          <w:lang w:val="en-GB"/>
        </w:rPr>
        <w:t>(</w:t>
      </w:r>
      <w:r w:rsidR="2589E0F2" w:rsidRPr="041E5C19">
        <w:rPr>
          <w:rFonts w:ascii="DeutscheBank" w:hAnsi="DeutscheBank"/>
          <w:lang w:val="en-GB"/>
        </w:rPr>
        <w:t>A</w:t>
      </w:r>
      <w:r w:rsidR="0008751D" w:rsidRPr="041E5C19">
        <w:rPr>
          <w:rFonts w:ascii="DeutscheBank" w:eastAsia="Arial" w:hAnsi="DeutscheBank" w:cs="Arial"/>
          <w:color w:val="222222"/>
          <w:lang w:val="en-GB" w:eastAsia="de-DE"/>
        </w:rPr>
        <w:t>ll respondents)</w:t>
      </w:r>
    </w:p>
    <w:p w14:paraId="3A2B83D6" w14:textId="3F48F694" w:rsidR="007D5188" w:rsidRPr="007D5188" w:rsidRDefault="46C3057A" w:rsidP="007D5188">
      <w:pPr>
        <w:keepNext/>
        <w:spacing w:before="140" w:after="40"/>
        <w:jc w:val="center"/>
        <w:rPr>
          <w:rFonts w:ascii="DeutscheBank" w:hAnsi="DeutscheBank"/>
        </w:rPr>
      </w:pPr>
      <w:r>
        <w:rPr>
          <w:noProof/>
        </w:rPr>
        <w:drawing>
          <wp:inline distT="0" distB="0" distL="0" distR="0" wp14:anchorId="384A51B7" wp14:editId="784590F6">
            <wp:extent cx="4583927" cy="2826553"/>
            <wp:effectExtent l="0" t="0" r="7620" b="0"/>
            <wp:docPr id="737348242"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07360" cy="2841002"/>
                    </a:xfrm>
                    <a:prstGeom prst="rect">
                      <a:avLst/>
                    </a:prstGeom>
                    <a:noFill/>
                    <a:ln>
                      <a:noFill/>
                    </a:ln>
                  </pic:spPr>
                </pic:pic>
              </a:graphicData>
            </a:graphic>
          </wp:inline>
        </w:drawing>
      </w:r>
    </w:p>
    <w:p w14:paraId="7F782827" w14:textId="190596B7" w:rsidR="0008751D" w:rsidRPr="001E5405" w:rsidRDefault="0008751D" w:rsidP="0008751D">
      <w:pPr>
        <w:keepNext/>
        <w:spacing w:before="140" w:after="40"/>
        <w:jc w:val="center"/>
        <w:rPr>
          <w:rFonts w:ascii="DeutscheBank" w:hAnsi="DeutscheBank"/>
        </w:rPr>
      </w:pPr>
    </w:p>
    <w:p w14:paraId="3FA96D1C" w14:textId="16B4CA8D" w:rsidR="0008751D" w:rsidRPr="00EC64E2" w:rsidRDefault="0008751D" w:rsidP="0008751D">
      <w:pPr>
        <w:spacing w:after="180"/>
        <w:rPr>
          <w:rFonts w:ascii="DeutscheBank" w:hAnsi="DeutscheBank"/>
          <w:color w:val="000000" w:themeColor="text1"/>
          <w:sz w:val="16"/>
          <w:szCs w:val="16"/>
          <w:lang w:val="en-GB"/>
        </w:rPr>
      </w:pPr>
      <w:r w:rsidRPr="000B0F05">
        <w:rPr>
          <w:rFonts w:ascii="DeutscheBank" w:hAnsi="DeutscheBank"/>
          <w:b/>
          <w:bCs/>
          <w:color w:val="000000" w:themeColor="text1"/>
          <w:sz w:val="16"/>
          <w:szCs w:val="16"/>
          <w:lang w:val="en-GB"/>
        </w:rPr>
        <w:t xml:space="preserve">Source: </w:t>
      </w:r>
      <w:r w:rsidRPr="000B0F05">
        <w:rPr>
          <w:rFonts w:ascii="DeutscheBank" w:hAnsi="DeutscheBank"/>
          <w:color w:val="000000" w:themeColor="text1"/>
          <w:sz w:val="16"/>
          <w:szCs w:val="16"/>
          <w:lang w:val="en-GB"/>
        </w:rPr>
        <w:t xml:space="preserve">Global Sentiment Survey on Europe 2026, B2B online survey. </w:t>
      </w:r>
      <w:r w:rsidRPr="00791E3F">
        <w:rPr>
          <w:rFonts w:ascii="DeutscheBank" w:hAnsi="DeutscheBank"/>
          <w:color w:val="000000" w:themeColor="text1"/>
          <w:sz w:val="16"/>
          <w:szCs w:val="16"/>
          <w:lang w:val="en-GB"/>
        </w:rPr>
        <w:t>Base</w:t>
      </w:r>
      <w:r w:rsidRPr="00EC64E2">
        <w:rPr>
          <w:rFonts w:ascii="DeutscheBank" w:hAnsi="DeutscheBank"/>
          <w:b/>
          <w:bCs/>
          <w:color w:val="000000" w:themeColor="text1"/>
          <w:sz w:val="16"/>
          <w:szCs w:val="16"/>
          <w:lang w:val="en-GB"/>
        </w:rPr>
        <w:t>:</w:t>
      </w:r>
      <w:r w:rsidRPr="00EC64E2">
        <w:rPr>
          <w:rFonts w:ascii="DeutscheBank" w:hAnsi="DeutscheBank"/>
          <w:color w:val="000000" w:themeColor="text1"/>
          <w:sz w:val="16"/>
          <w:szCs w:val="16"/>
          <w:lang w:val="en-GB"/>
        </w:rPr>
        <w:t xml:space="preserve"> n = 1,200 </w:t>
      </w:r>
    </w:p>
    <w:p w14:paraId="61CB9845" w14:textId="0E74AE7D" w:rsidR="0008751D" w:rsidRPr="00BB676A" w:rsidRDefault="002C0CA1" w:rsidP="0008751D">
      <w:pPr>
        <w:pStyle w:val="Heading1"/>
        <w:pageBreakBefore/>
        <w:jc w:val="both"/>
        <w:rPr>
          <w:rFonts w:ascii="DeutscheBank" w:hAnsi="DeutscheBank"/>
          <w:sz w:val="28"/>
          <w:szCs w:val="28"/>
          <w:lang w:val="en-GB"/>
        </w:rPr>
      </w:pPr>
      <w:bookmarkStart w:id="47" w:name="_Toc239930546"/>
      <w:bookmarkStart w:id="48" w:name="_Toc240474433"/>
      <w:r>
        <w:rPr>
          <w:rFonts w:ascii="DeutscheBank" w:hAnsi="DeutscheBank"/>
          <w:sz w:val="28"/>
          <w:szCs w:val="28"/>
          <w:lang w:val="en-GB"/>
        </w:rPr>
        <w:lastRenderedPageBreak/>
        <w:t xml:space="preserve">Europe can strengthen its </w:t>
      </w:r>
      <w:r w:rsidR="0008751D" w:rsidRPr="00BB676A">
        <w:rPr>
          <w:rFonts w:ascii="DeutscheBank" w:hAnsi="DeutscheBank"/>
          <w:sz w:val="28"/>
          <w:szCs w:val="28"/>
          <w:lang w:val="en-GB"/>
        </w:rPr>
        <w:t xml:space="preserve">AI </w:t>
      </w:r>
      <w:r>
        <w:rPr>
          <w:rFonts w:ascii="DeutscheBank" w:hAnsi="DeutscheBank"/>
          <w:sz w:val="28"/>
          <w:szCs w:val="28"/>
          <w:lang w:val="en-GB"/>
        </w:rPr>
        <w:t>competitiveness</w:t>
      </w:r>
      <w:bookmarkEnd w:id="47"/>
      <w:bookmarkEnd w:id="48"/>
    </w:p>
    <w:p w14:paraId="5A9D8BBF" w14:textId="0C573184" w:rsidR="0008751D" w:rsidRPr="00BB676A" w:rsidRDefault="59C670F8" w:rsidP="00AA76E2">
      <w:pPr>
        <w:spacing w:after="150" w:line="288" w:lineRule="auto"/>
        <w:rPr>
          <w:rFonts w:ascii="DeutscheBank" w:hAnsi="DeutscheBank"/>
          <w:sz w:val="20"/>
          <w:szCs w:val="20"/>
          <w:lang w:val="en-GB"/>
        </w:rPr>
      </w:pPr>
      <w:r w:rsidRPr="47163E79">
        <w:rPr>
          <w:rFonts w:ascii="Segoe UI" w:eastAsia="Segoe UI" w:hAnsi="Segoe UI" w:cs="Segoe UI"/>
          <w:color w:val="242424"/>
          <w:lang w:val="en-GB"/>
        </w:rPr>
        <w:t xml:space="preserve">Artificial intelligence is one of the most important technologies shaping future investment </w:t>
      </w:r>
      <w:r w:rsidR="0008751D" w:rsidRPr="47163E79">
        <w:rPr>
          <w:rFonts w:ascii="Segoe UI" w:eastAsia="Segoe UI" w:hAnsi="Segoe UI" w:cs="Segoe UI"/>
          <w:color w:val="242424"/>
          <w:lang w:val="en-GB"/>
        </w:rPr>
        <w:t>decisions</w:t>
      </w:r>
      <w:r w:rsidR="0008751D" w:rsidRPr="00BB676A">
        <w:rPr>
          <w:rFonts w:ascii="DeutscheBank" w:hAnsi="DeutscheBank"/>
          <w:sz w:val="20"/>
          <w:szCs w:val="20"/>
          <w:lang w:val="en-GB"/>
        </w:rPr>
        <w:t>. Investors are clear in their view that Europe should play a leading role in the AI economy, and they are equally clear about what is needed to make that happen. Their priorities are closely aligned, with the strongest emphasis on a simpler and more harmonised regulatory framework. The message is straightforward: investors see significant potential in Europe’s AI future but unlocking it will require an environment that makes innovation easier to develop, scale and deploy across the region.</w:t>
      </w:r>
    </w:p>
    <w:p w14:paraId="690701D0" w14:textId="77777777" w:rsidR="0008751D" w:rsidRDefault="0008751D" w:rsidP="0008751D">
      <w:pPr>
        <w:spacing w:before="40" w:after="90"/>
        <w:jc w:val="both"/>
        <w:rPr>
          <w:rFonts w:ascii="DeutscheBank" w:hAnsi="DeutscheBank"/>
          <w:b/>
          <w:bCs/>
          <w:caps/>
          <w:color w:val="5A6472"/>
          <w:sz w:val="18"/>
          <w:szCs w:val="18"/>
          <w:lang w:val="en-US"/>
        </w:rPr>
      </w:pPr>
    </w:p>
    <w:p w14:paraId="4CDD8A30" w14:textId="77777777" w:rsidR="0008751D" w:rsidRPr="0094183B" w:rsidRDefault="0008751D" w:rsidP="0008751D">
      <w:pPr>
        <w:spacing w:before="40" w:after="90"/>
        <w:jc w:val="both"/>
        <w:rPr>
          <w:rFonts w:ascii="DeutscheBank" w:hAnsi="DeutscheBank"/>
          <w:lang w:val="en-US"/>
        </w:rPr>
      </w:pPr>
      <w:r w:rsidRPr="0094183B">
        <w:rPr>
          <w:rFonts w:ascii="DeutscheBank" w:hAnsi="DeutscheBank"/>
          <w:b/>
          <w:bCs/>
          <w:caps/>
          <w:color w:val="5A6472"/>
          <w:sz w:val="18"/>
          <w:szCs w:val="18"/>
          <w:lang w:val="en-US"/>
        </w:rPr>
        <w:t>At a glance</w:t>
      </w:r>
    </w:p>
    <w:tbl>
      <w:tblPr>
        <w:tblW w:w="9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11"/>
        <w:gridCol w:w="2977"/>
        <w:gridCol w:w="2976"/>
      </w:tblGrid>
      <w:tr w:rsidR="0008751D" w:rsidRPr="00C66C08" w14:paraId="003AA96A" w14:textId="77777777" w:rsidTr="003000F3">
        <w:tc>
          <w:tcPr>
            <w:tcW w:w="311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6A0B366A" w14:textId="77777777" w:rsidR="0008751D" w:rsidRPr="001E5405" w:rsidRDefault="0008751D" w:rsidP="009C2716">
            <w:pPr>
              <w:spacing w:after="40"/>
              <w:jc w:val="both"/>
              <w:rPr>
                <w:rFonts w:ascii="DeutscheBank" w:hAnsi="DeutscheBank"/>
                <w:lang w:val="en-GB"/>
              </w:rPr>
            </w:pPr>
            <w:r w:rsidRPr="001E5405">
              <w:rPr>
                <w:rFonts w:ascii="DeutscheBank" w:hAnsi="DeutscheBank"/>
                <w:b/>
                <w:bCs/>
                <w:color w:val="0069B1"/>
                <w:sz w:val="30"/>
                <w:szCs w:val="30"/>
                <w:lang w:val="en-GB"/>
              </w:rPr>
              <w:t>33%</w:t>
            </w:r>
          </w:p>
          <w:p w14:paraId="4B337EB0" w14:textId="77777777" w:rsidR="0008751D" w:rsidRPr="001E5405" w:rsidRDefault="0008751D" w:rsidP="002B3C12">
            <w:pPr>
              <w:rPr>
                <w:rFonts w:ascii="DeutscheBank" w:hAnsi="DeutscheBank"/>
                <w:lang w:val="en-GB"/>
              </w:rPr>
            </w:pPr>
            <w:r w:rsidRPr="001E5405">
              <w:rPr>
                <w:rFonts w:ascii="DeutscheBank" w:hAnsi="DeutscheBank"/>
                <w:color w:val="5A6472"/>
                <w:sz w:val="16"/>
                <w:szCs w:val="16"/>
                <w:lang w:val="en-GB"/>
              </w:rPr>
              <w:t>want simpler AI regulation and frameworks</w:t>
            </w:r>
          </w:p>
        </w:tc>
        <w:tc>
          <w:tcPr>
            <w:tcW w:w="297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118FFB49" w14:textId="77777777" w:rsidR="0008751D" w:rsidRPr="001E5405" w:rsidRDefault="0008751D" w:rsidP="009C2716">
            <w:pPr>
              <w:spacing w:after="40"/>
              <w:jc w:val="both"/>
              <w:rPr>
                <w:rFonts w:ascii="DeutscheBank" w:hAnsi="DeutscheBank"/>
              </w:rPr>
            </w:pPr>
            <w:r w:rsidRPr="001E5405">
              <w:rPr>
                <w:rFonts w:ascii="DeutscheBank" w:hAnsi="DeutscheBank"/>
                <w:b/>
                <w:bCs/>
                <w:color w:val="0069B1"/>
                <w:sz w:val="30"/>
                <w:szCs w:val="30"/>
              </w:rPr>
              <w:t>31%</w:t>
            </w:r>
          </w:p>
          <w:p w14:paraId="5BA7CEB9" w14:textId="39F58D4F" w:rsidR="0008751D" w:rsidRPr="001E5405" w:rsidRDefault="00B975C1" w:rsidP="002B3C12">
            <w:pPr>
              <w:rPr>
                <w:rFonts w:ascii="DeutscheBank" w:hAnsi="DeutscheBank"/>
              </w:rPr>
            </w:pPr>
            <w:proofErr w:type="spellStart"/>
            <w:r>
              <w:rPr>
                <w:rFonts w:ascii="DeutscheBank" w:hAnsi="DeutscheBank"/>
                <w:color w:val="5A6472"/>
                <w:sz w:val="16"/>
                <w:szCs w:val="16"/>
              </w:rPr>
              <w:t>w</w:t>
            </w:r>
            <w:r w:rsidR="001D0440" w:rsidRPr="001E5405">
              <w:rPr>
                <w:rFonts w:ascii="DeutscheBank" w:hAnsi="DeutscheBank"/>
                <w:color w:val="5A6472"/>
                <w:sz w:val="16"/>
                <w:szCs w:val="16"/>
              </w:rPr>
              <w:t>ant</w:t>
            </w:r>
            <w:proofErr w:type="spellEnd"/>
            <w:r w:rsidR="0008751D" w:rsidRPr="001E5405">
              <w:rPr>
                <w:rFonts w:ascii="DeutscheBank" w:hAnsi="DeutscheBank"/>
                <w:color w:val="5A6472"/>
                <w:sz w:val="16"/>
                <w:szCs w:val="16"/>
              </w:rPr>
              <w:t xml:space="preserve"> </w:t>
            </w:r>
            <w:proofErr w:type="spellStart"/>
            <w:r w:rsidR="0008751D" w:rsidRPr="001E5405">
              <w:rPr>
                <w:rFonts w:ascii="DeutscheBank" w:hAnsi="DeutscheBank"/>
                <w:color w:val="5A6472"/>
                <w:sz w:val="16"/>
                <w:szCs w:val="16"/>
              </w:rPr>
              <w:t>upgraded</w:t>
            </w:r>
            <w:proofErr w:type="spellEnd"/>
            <w:r w:rsidR="0008751D" w:rsidRPr="001E5405">
              <w:rPr>
                <w:rFonts w:ascii="DeutscheBank" w:hAnsi="DeutscheBank"/>
                <w:color w:val="5A6472"/>
                <w:sz w:val="16"/>
                <w:szCs w:val="16"/>
              </w:rPr>
              <w:t xml:space="preserve"> </w:t>
            </w:r>
            <w:proofErr w:type="spellStart"/>
            <w:r w:rsidR="0008751D" w:rsidRPr="001E5405">
              <w:rPr>
                <w:rFonts w:ascii="DeutscheBank" w:hAnsi="DeutscheBank"/>
                <w:color w:val="5A6472"/>
                <w:sz w:val="16"/>
                <w:szCs w:val="16"/>
              </w:rPr>
              <w:t>technological</w:t>
            </w:r>
            <w:proofErr w:type="spellEnd"/>
            <w:r w:rsidR="0008751D" w:rsidRPr="001E5405">
              <w:rPr>
                <w:rFonts w:ascii="DeutscheBank" w:hAnsi="DeutscheBank"/>
                <w:color w:val="5A6472"/>
                <w:sz w:val="16"/>
                <w:szCs w:val="16"/>
              </w:rPr>
              <w:t xml:space="preserve"> </w:t>
            </w:r>
            <w:proofErr w:type="spellStart"/>
            <w:r w:rsidR="0008751D" w:rsidRPr="001E5405">
              <w:rPr>
                <w:rFonts w:ascii="DeutscheBank" w:hAnsi="DeutscheBank"/>
                <w:color w:val="5A6472"/>
                <w:sz w:val="16"/>
                <w:szCs w:val="16"/>
              </w:rPr>
              <w:t>infrastructure</w:t>
            </w:r>
            <w:proofErr w:type="spellEnd"/>
          </w:p>
        </w:tc>
        <w:tc>
          <w:tcPr>
            <w:tcW w:w="29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5D7AB705" w14:textId="77777777" w:rsidR="0008751D" w:rsidRPr="001E5405" w:rsidRDefault="0008751D" w:rsidP="009C2716">
            <w:pPr>
              <w:spacing w:after="40"/>
              <w:jc w:val="both"/>
              <w:rPr>
                <w:rFonts w:ascii="DeutscheBank" w:hAnsi="DeutscheBank"/>
                <w:lang w:val="en-GB"/>
              </w:rPr>
            </w:pPr>
            <w:r w:rsidRPr="001E5405">
              <w:rPr>
                <w:rFonts w:ascii="DeutscheBank" w:hAnsi="DeutscheBank"/>
                <w:b/>
                <w:bCs/>
                <w:color w:val="0069B1"/>
                <w:sz w:val="30"/>
                <w:szCs w:val="30"/>
                <w:lang w:val="en-GB"/>
              </w:rPr>
              <w:t>28%</w:t>
            </w:r>
          </w:p>
          <w:p w14:paraId="47CC35D9" w14:textId="77777777" w:rsidR="0008751D" w:rsidRPr="001E5405" w:rsidRDefault="0008751D" w:rsidP="002B3C12">
            <w:pPr>
              <w:rPr>
                <w:rFonts w:ascii="DeutscheBank" w:hAnsi="DeutscheBank"/>
                <w:lang w:val="en-GB"/>
              </w:rPr>
            </w:pPr>
            <w:r w:rsidRPr="001E5405">
              <w:rPr>
                <w:rFonts w:ascii="DeutscheBank" w:hAnsi="DeutscheBank"/>
                <w:color w:val="5A6472"/>
                <w:sz w:val="16"/>
                <w:szCs w:val="16"/>
                <w:lang w:val="en-GB"/>
              </w:rPr>
              <w:t>want better access to AI growth capital</w:t>
            </w:r>
          </w:p>
        </w:tc>
      </w:tr>
    </w:tbl>
    <w:p w14:paraId="65820A58" w14:textId="77777777" w:rsidR="0008751D" w:rsidRPr="001E5405" w:rsidRDefault="0008751D" w:rsidP="0008751D">
      <w:pPr>
        <w:spacing w:after="80"/>
        <w:jc w:val="both"/>
        <w:rPr>
          <w:rFonts w:ascii="DeutscheBank" w:hAnsi="DeutscheBank"/>
          <w:lang w:val="en-GB"/>
        </w:rPr>
      </w:pPr>
    </w:p>
    <w:p w14:paraId="48D3ACB5" w14:textId="3944A6DC" w:rsidR="0008751D" w:rsidRPr="00BB676A" w:rsidRDefault="00FF0ECF" w:rsidP="00AA76E2">
      <w:pPr>
        <w:pStyle w:val="Heading2"/>
        <w:rPr>
          <w:rFonts w:ascii="DeutscheBank" w:hAnsi="DeutscheBank"/>
          <w:color w:val="000000" w:themeColor="text1"/>
          <w:sz w:val="20"/>
          <w:szCs w:val="20"/>
          <w:lang w:val="en-GB"/>
        </w:rPr>
      </w:pPr>
      <w:bookmarkStart w:id="49" w:name="_Toc239842209"/>
      <w:bookmarkStart w:id="50" w:name="_Toc239930547"/>
      <w:r>
        <w:rPr>
          <w:rFonts w:ascii="DeutscheBank" w:hAnsi="DeutscheBank"/>
          <w:color w:val="000000" w:themeColor="text1"/>
          <w:sz w:val="20"/>
          <w:szCs w:val="20"/>
          <w:lang w:val="en-GB"/>
        </w:rPr>
        <w:t xml:space="preserve">Progress needed across </w:t>
      </w:r>
      <w:r w:rsidR="008F79B4">
        <w:rPr>
          <w:rFonts w:ascii="DeutscheBank" w:hAnsi="DeutscheBank"/>
          <w:color w:val="000000" w:themeColor="text1"/>
          <w:sz w:val="20"/>
          <w:szCs w:val="20"/>
          <w:lang w:val="en-GB"/>
        </w:rPr>
        <w:t xml:space="preserve">the AI </w:t>
      </w:r>
      <w:bookmarkEnd w:id="49"/>
      <w:bookmarkEnd w:id="50"/>
      <w:r w:rsidR="008F79B4">
        <w:rPr>
          <w:rFonts w:ascii="DeutscheBank" w:hAnsi="DeutscheBank"/>
          <w:color w:val="000000" w:themeColor="text1"/>
          <w:sz w:val="20"/>
          <w:szCs w:val="20"/>
          <w:lang w:val="en-GB"/>
        </w:rPr>
        <w:t>ecosystem</w:t>
      </w:r>
    </w:p>
    <w:p w14:paraId="31C42342" w14:textId="6518D6DB" w:rsidR="0008751D" w:rsidRPr="00BB676A" w:rsidRDefault="0008751D" w:rsidP="00AA76E2">
      <w:pPr>
        <w:spacing w:after="150" w:line="288" w:lineRule="auto"/>
        <w:rPr>
          <w:rFonts w:ascii="DeutscheBank" w:hAnsi="DeutscheBank"/>
          <w:sz w:val="20"/>
          <w:szCs w:val="20"/>
          <w:lang w:val="en-GB"/>
        </w:rPr>
      </w:pPr>
      <w:r w:rsidRPr="041E5C19">
        <w:rPr>
          <w:rFonts w:ascii="DeutscheBank" w:hAnsi="DeutscheBank"/>
          <w:sz w:val="20"/>
          <w:szCs w:val="20"/>
          <w:lang w:val="en-GB"/>
        </w:rPr>
        <w:t xml:space="preserve">Asked how Europe could become more attractive for investment, innovation and the use of AI, investors </w:t>
      </w:r>
      <w:r w:rsidR="42A031AC" w:rsidRPr="041E5C19">
        <w:rPr>
          <w:rFonts w:ascii="DeutscheBank" w:hAnsi="DeutscheBank"/>
          <w:sz w:val="20"/>
          <w:szCs w:val="20"/>
          <w:lang w:val="en-GB"/>
        </w:rPr>
        <w:t>cite</w:t>
      </w:r>
      <w:r w:rsidRPr="041E5C19">
        <w:rPr>
          <w:rFonts w:ascii="DeutscheBank" w:hAnsi="DeutscheBank"/>
          <w:sz w:val="20"/>
          <w:szCs w:val="20"/>
          <w:lang w:val="en-GB"/>
        </w:rPr>
        <w:t xml:space="preserve"> </w:t>
      </w:r>
      <w:r w:rsidR="20DB8B59" w:rsidRPr="041E5C19">
        <w:rPr>
          <w:rFonts w:ascii="DeutscheBank" w:hAnsi="DeutscheBank"/>
          <w:sz w:val="20"/>
          <w:szCs w:val="20"/>
          <w:lang w:val="en-GB"/>
        </w:rPr>
        <w:t>s</w:t>
      </w:r>
      <w:r w:rsidR="20B5588D" w:rsidRPr="041E5C19">
        <w:rPr>
          <w:rFonts w:ascii="DeutscheBank" w:hAnsi="DeutscheBank"/>
          <w:sz w:val="20"/>
          <w:szCs w:val="20"/>
          <w:lang w:val="en-GB"/>
        </w:rPr>
        <w:t>impl</w:t>
      </w:r>
      <w:r w:rsidR="0077B5D9" w:rsidRPr="041E5C19">
        <w:rPr>
          <w:rFonts w:ascii="DeutscheBank" w:hAnsi="DeutscheBank"/>
          <w:sz w:val="20"/>
          <w:szCs w:val="20"/>
          <w:lang w:val="en-GB"/>
        </w:rPr>
        <w:t>er</w:t>
      </w:r>
      <w:r w:rsidRPr="041E5C19">
        <w:rPr>
          <w:rFonts w:ascii="DeutscheBank" w:hAnsi="DeutscheBank"/>
          <w:sz w:val="20"/>
          <w:szCs w:val="20"/>
          <w:lang w:val="en-GB"/>
        </w:rPr>
        <w:t xml:space="preserve"> AI regulation and frameworks </w:t>
      </w:r>
      <w:r w:rsidR="670E9AE9" w:rsidRPr="041E5C19">
        <w:rPr>
          <w:rFonts w:ascii="DeutscheBank" w:hAnsi="DeutscheBank"/>
          <w:sz w:val="20"/>
          <w:szCs w:val="20"/>
          <w:lang w:val="en-GB"/>
        </w:rPr>
        <w:t>first</w:t>
      </w:r>
      <w:r w:rsidRPr="041E5C19">
        <w:rPr>
          <w:rFonts w:ascii="DeutscheBank" w:hAnsi="DeutscheBank"/>
          <w:sz w:val="20"/>
          <w:szCs w:val="20"/>
          <w:lang w:val="en-GB"/>
        </w:rPr>
        <w:t xml:space="preserve"> at 33 percent, followed by upgrading technological infrastructure (31 percent), strengthening digital skills and creating competitive technology incentives (both 29 percent) and improving access to AI growth capital (28 percent).</w:t>
      </w:r>
    </w:p>
    <w:p w14:paraId="4C897C28" w14:textId="2D0907A7" w:rsidR="0008751D" w:rsidRPr="000B0F05" w:rsidRDefault="0008751D" w:rsidP="041E5C19">
      <w:pPr>
        <w:pStyle w:val="Caption"/>
        <w:spacing w:after="150" w:line="288" w:lineRule="auto"/>
        <w:rPr>
          <w:rFonts w:ascii="DeutscheBank" w:eastAsia="Arial" w:hAnsi="DeutscheBank" w:cs="Arial"/>
          <w:lang w:val="en-GB" w:eastAsia="de-DE"/>
          <w14:ligatures w14:val="none"/>
        </w:rPr>
      </w:pPr>
      <w:r w:rsidRPr="041E5C19">
        <w:rPr>
          <w:rFonts w:ascii="DeutscheBank" w:eastAsia="Arial" w:hAnsi="DeutscheBank" w:cs="Arial"/>
          <w:lang w:val="en-GB" w:eastAsia="de-DE"/>
        </w:rPr>
        <w:t xml:space="preserve">Figure </w:t>
      </w:r>
      <w:r w:rsidR="30597709" w:rsidRPr="041E5C19">
        <w:rPr>
          <w:rFonts w:ascii="DeutscheBank" w:eastAsia="Arial" w:hAnsi="DeutscheBank" w:cs="Arial"/>
          <w:lang w:val="en-GB" w:eastAsia="de-DE"/>
        </w:rPr>
        <w:t>19</w:t>
      </w:r>
      <w:r w:rsidRPr="041E5C19">
        <w:rPr>
          <w:rFonts w:ascii="DeutscheBank" w:eastAsia="Arial" w:hAnsi="DeutscheBank" w:cs="Arial"/>
          <w:lang w:val="en-GB" w:eastAsia="de-DE"/>
        </w:rPr>
        <w:t>: Measures to improve Europe's AI attractiveness</w:t>
      </w:r>
    </w:p>
    <w:p w14:paraId="516CFAEC" w14:textId="77777777" w:rsidR="0008751D" w:rsidRPr="00267E2F" w:rsidRDefault="0008751D" w:rsidP="0008751D">
      <w:pPr>
        <w:pStyle w:val="Copy"/>
        <w:rPr>
          <w:rFonts w:ascii="DeutscheBank" w:hAnsi="DeutscheBank"/>
          <w:szCs w:val="20"/>
          <w:lang w:val="en-GB"/>
        </w:rPr>
      </w:pPr>
      <w:r>
        <w:rPr>
          <w:rFonts w:ascii="DeutscheBank" w:hAnsi="DeutscheBank"/>
          <w:szCs w:val="20"/>
          <w:lang w:val="en-GB"/>
        </w:rPr>
        <w:t>S</w:t>
      </w:r>
      <w:r w:rsidRPr="00267E2F">
        <w:rPr>
          <w:rFonts w:ascii="DeutscheBank" w:hAnsi="DeutscheBank"/>
          <w:szCs w:val="20"/>
          <w:lang w:val="en-GB"/>
        </w:rPr>
        <w:t>elect the three most important</w:t>
      </w:r>
      <w:r w:rsidRPr="000B0F05">
        <w:rPr>
          <w:rFonts w:ascii="DeutscheBank" w:hAnsi="DeutscheBank"/>
          <w:szCs w:val="20"/>
          <w:lang w:val="en-GB"/>
        </w:rPr>
        <w:t xml:space="preserve"> </w:t>
      </w:r>
      <w:r>
        <w:rPr>
          <w:rFonts w:ascii="DeutscheBank" w:hAnsi="DeutscheBank"/>
          <w:szCs w:val="20"/>
          <w:lang w:val="en-GB"/>
        </w:rPr>
        <w:t xml:space="preserve">measures </w:t>
      </w:r>
      <w:r>
        <w:rPr>
          <w:rFonts w:ascii="DeutscheBank" w:eastAsia="Arial" w:hAnsi="DeutscheBank" w:cs="Arial"/>
          <w:color w:val="222222"/>
          <w:szCs w:val="20"/>
          <w:lang w:val="en-GB" w:eastAsia="de-DE"/>
          <w14:ligatures w14:val="none"/>
        </w:rPr>
        <w:t>(all respondents)</w:t>
      </w:r>
    </w:p>
    <w:p w14:paraId="77A45E02" w14:textId="77777777" w:rsidR="00791E3F" w:rsidRDefault="0008751D" w:rsidP="00791E3F">
      <w:pPr>
        <w:spacing w:after="150" w:line="288" w:lineRule="auto"/>
        <w:jc w:val="center"/>
        <w:rPr>
          <w:rFonts w:ascii="DeutscheBank" w:hAnsi="DeutscheBank"/>
          <w:b/>
          <w:bCs/>
          <w:color w:val="000000" w:themeColor="text1"/>
          <w:sz w:val="16"/>
          <w:szCs w:val="16"/>
          <w:lang w:val="en-GB"/>
        </w:rPr>
      </w:pPr>
      <w:r>
        <w:rPr>
          <w:noProof/>
        </w:rPr>
        <w:drawing>
          <wp:inline distT="0" distB="0" distL="0" distR="0" wp14:anchorId="02212FC5" wp14:editId="748F4925">
            <wp:extent cx="4381500" cy="2588299"/>
            <wp:effectExtent l="0" t="0" r="0" b="2540"/>
            <wp:docPr id="903437184" name="fig22" descr="Horizontal bar chart ranks priorities for improvement of AI regulation and adoption by percentage support. Navy bars show Simplify AI regulation highest at 33%, followed by Upgrade tech infrastructure at 31%, while Foster European tech champions and Support AI entrepreneurship tie lowest a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437184" name="fig22" descr="Horizontal bar chart ranks priorities for improvement of AI regulation and adoption by percentage support. Navy bars show Simplify AI regulation highest at 33%, followed by Upgrade tech infrastructure at 31%, while Foster European tech champions and Support AI entrepreneurship tie lowest at 21%."/>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447546" cy="2627315"/>
                    </a:xfrm>
                    <a:prstGeom prst="rect">
                      <a:avLst/>
                    </a:prstGeom>
                  </pic:spPr>
                </pic:pic>
              </a:graphicData>
            </a:graphic>
          </wp:inline>
        </w:drawing>
      </w:r>
    </w:p>
    <w:p w14:paraId="6A366677" w14:textId="562DF052" w:rsidR="0008751D" w:rsidRPr="00791E3F" w:rsidRDefault="0008751D" w:rsidP="041E5C19">
      <w:pPr>
        <w:spacing w:after="150" w:line="288" w:lineRule="auto"/>
        <w:jc w:val="center"/>
        <w:rPr>
          <w:rFonts w:ascii="DeutscheBank" w:hAnsi="DeutscheBank"/>
          <w:b/>
          <w:bCs/>
          <w:color w:val="000000" w:themeColor="text1"/>
          <w:sz w:val="16"/>
          <w:szCs w:val="16"/>
          <w:lang w:val="en-GB"/>
        </w:rPr>
      </w:pPr>
    </w:p>
    <w:p w14:paraId="0F997F8E" w14:textId="306456AC" w:rsidR="0008751D" w:rsidRPr="00791E3F" w:rsidRDefault="0008751D" w:rsidP="041E5C19">
      <w:pPr>
        <w:spacing w:after="150" w:line="288" w:lineRule="auto"/>
        <w:jc w:val="center"/>
        <w:rPr>
          <w:rFonts w:ascii="DeutscheBank" w:hAnsi="DeutscheBank"/>
          <w:lang w:val="en-GB"/>
        </w:rPr>
      </w:pPr>
      <w:r w:rsidRPr="041E5C19">
        <w:rPr>
          <w:rFonts w:ascii="DeutscheBank" w:hAnsi="DeutscheBank"/>
          <w:b/>
          <w:bCs/>
          <w:color w:val="000000" w:themeColor="text1"/>
          <w:sz w:val="16"/>
          <w:szCs w:val="16"/>
          <w:lang w:val="en-GB"/>
        </w:rPr>
        <w:t xml:space="preserve">Source: </w:t>
      </w:r>
      <w:r w:rsidRPr="041E5C19">
        <w:rPr>
          <w:rFonts w:ascii="DeutscheBank" w:hAnsi="DeutscheBank"/>
          <w:color w:val="000000" w:themeColor="text1"/>
          <w:sz w:val="16"/>
          <w:szCs w:val="16"/>
          <w:lang w:val="en-GB"/>
        </w:rPr>
        <w:t>Global Sentiment Survey on Europe 2026, B2B online survey. Base: all respondents, n = 1,200</w:t>
      </w:r>
    </w:p>
    <w:p w14:paraId="0EBF367E" w14:textId="5B41CBF4" w:rsidR="0008751D" w:rsidRPr="007E0A52" w:rsidRDefault="0008751D" w:rsidP="001D0440">
      <w:pPr>
        <w:pStyle w:val="Heading2"/>
        <w:numPr>
          <w:ilvl w:val="0"/>
          <w:numId w:val="0"/>
        </w:numPr>
        <w:ind w:left="432"/>
        <w:rPr>
          <w:rFonts w:ascii="DeutscheBank" w:hAnsi="DeutscheBank"/>
          <w:color w:val="auto"/>
          <w:sz w:val="20"/>
          <w:szCs w:val="20"/>
          <w:lang w:val="en-GB"/>
        </w:rPr>
      </w:pPr>
    </w:p>
    <w:p w14:paraId="2FD7248B" w14:textId="2EE9CE31" w:rsidR="0008751D" w:rsidRPr="001D0440" w:rsidRDefault="57534FCA" w:rsidP="00AA76E2">
      <w:pPr>
        <w:spacing w:after="150" w:line="288" w:lineRule="auto"/>
        <w:rPr>
          <w:lang w:val="en-US"/>
        </w:rPr>
      </w:pPr>
      <w:r w:rsidRPr="47163E79">
        <w:rPr>
          <w:rFonts w:ascii="DeutscheBank" w:hAnsi="DeutscheBank"/>
          <w:sz w:val="20"/>
          <w:szCs w:val="20"/>
          <w:lang w:val="en-GB"/>
        </w:rPr>
        <w:t xml:space="preserve">The core finding </w:t>
      </w:r>
      <w:r w:rsidR="39B89145" w:rsidRPr="6922587D">
        <w:rPr>
          <w:rFonts w:ascii="DeutscheBank" w:hAnsi="DeutscheBank"/>
          <w:sz w:val="20"/>
          <w:szCs w:val="20"/>
          <w:lang w:val="en-GB"/>
        </w:rPr>
        <w:t xml:space="preserve">here </w:t>
      </w:r>
      <w:r w:rsidRPr="348BABDF">
        <w:rPr>
          <w:rFonts w:ascii="DeutscheBank" w:hAnsi="DeutscheBank"/>
          <w:sz w:val="20"/>
          <w:szCs w:val="20"/>
          <w:lang w:val="en-GB"/>
        </w:rPr>
        <w:t xml:space="preserve">is that investors expect Europe to </w:t>
      </w:r>
      <w:r w:rsidRPr="039E8513">
        <w:rPr>
          <w:rFonts w:ascii="DeutscheBank" w:hAnsi="DeutscheBank"/>
          <w:sz w:val="20"/>
          <w:szCs w:val="20"/>
          <w:lang w:val="en-GB"/>
        </w:rPr>
        <w:t xml:space="preserve">improve in several areas at once. </w:t>
      </w:r>
      <w:r w:rsidR="20B5588D" w:rsidRPr="039E8513">
        <w:rPr>
          <w:rFonts w:ascii="DeutscheBank" w:hAnsi="DeutscheBank"/>
          <w:sz w:val="20"/>
          <w:szCs w:val="20"/>
          <w:lang w:val="en-GB"/>
        </w:rPr>
        <w:t>Viewed</w:t>
      </w:r>
      <w:r w:rsidR="0008751D" w:rsidRPr="00BB676A">
        <w:rPr>
          <w:rFonts w:ascii="DeutscheBank" w:hAnsi="DeutscheBank"/>
          <w:sz w:val="20"/>
          <w:szCs w:val="20"/>
          <w:lang w:val="en-GB"/>
        </w:rPr>
        <w:t xml:space="preserve"> as a whole, the eleven measures form a clear roadmap for </w:t>
      </w:r>
      <w:r w:rsidR="583D4B07" w:rsidRPr="6922587D">
        <w:rPr>
          <w:rFonts w:ascii="DeutscheBank" w:hAnsi="DeutscheBank"/>
          <w:sz w:val="20"/>
          <w:szCs w:val="20"/>
          <w:lang w:val="en-GB"/>
        </w:rPr>
        <w:t xml:space="preserve">Europe to </w:t>
      </w:r>
      <w:r w:rsidR="583D4B07" w:rsidRPr="47AFF890">
        <w:rPr>
          <w:rFonts w:ascii="DeutscheBank" w:hAnsi="DeutscheBank"/>
          <w:sz w:val="20"/>
          <w:szCs w:val="20"/>
          <w:lang w:val="en-GB"/>
        </w:rPr>
        <w:t xml:space="preserve">improve its </w:t>
      </w:r>
      <w:r w:rsidR="0008751D" w:rsidRPr="00BB676A">
        <w:rPr>
          <w:rFonts w:ascii="DeutscheBank" w:hAnsi="DeutscheBank"/>
          <w:sz w:val="20"/>
          <w:szCs w:val="20"/>
          <w:lang w:val="en-GB"/>
        </w:rPr>
        <w:t>competitiveness</w:t>
      </w:r>
      <w:r w:rsidR="6B66C375" w:rsidRPr="47AFF890">
        <w:rPr>
          <w:rFonts w:ascii="DeutscheBank" w:hAnsi="DeutscheBank"/>
          <w:sz w:val="20"/>
          <w:szCs w:val="20"/>
          <w:lang w:val="en-GB"/>
        </w:rPr>
        <w:t xml:space="preserve"> in terms of AI</w:t>
      </w:r>
      <w:r w:rsidR="0008751D" w:rsidRPr="47AFF890">
        <w:rPr>
          <w:rFonts w:ascii="DeutscheBank" w:hAnsi="DeutscheBank"/>
          <w:sz w:val="20"/>
          <w:szCs w:val="20"/>
          <w:lang w:val="en-GB"/>
        </w:rPr>
        <w:t xml:space="preserve">. </w:t>
      </w:r>
    </w:p>
    <w:p w14:paraId="2EAFCFCB" w14:textId="43C81E25" w:rsidR="0008751D" w:rsidRPr="00BB676A" w:rsidRDefault="3DB32FF6" w:rsidP="00AA76E2">
      <w:pPr>
        <w:spacing w:after="150" w:line="288" w:lineRule="auto"/>
        <w:rPr>
          <w:rFonts w:ascii="DeutscheBank" w:hAnsi="DeutscheBank"/>
          <w:sz w:val="20"/>
          <w:szCs w:val="20"/>
          <w:lang w:val="en-GB"/>
        </w:rPr>
      </w:pPr>
      <w:r w:rsidRPr="041E5C19">
        <w:rPr>
          <w:rFonts w:ascii="DeutscheBank" w:hAnsi="DeutscheBank"/>
          <w:sz w:val="20"/>
          <w:szCs w:val="20"/>
          <w:lang w:val="en-GB"/>
        </w:rPr>
        <w:lastRenderedPageBreak/>
        <w:t>First</w:t>
      </w:r>
      <w:r w:rsidR="0008751D" w:rsidRPr="041E5C19">
        <w:rPr>
          <w:rFonts w:ascii="DeutscheBank" w:hAnsi="DeutscheBank"/>
          <w:sz w:val="20"/>
          <w:szCs w:val="20"/>
          <w:lang w:val="en-GB"/>
        </w:rPr>
        <w:t xml:space="preserve"> is the need for </w:t>
      </w:r>
      <w:r w:rsidR="0EE586A5" w:rsidRPr="041E5C19">
        <w:rPr>
          <w:rFonts w:ascii="DeutscheBank" w:hAnsi="DeutscheBank"/>
          <w:sz w:val="20"/>
          <w:szCs w:val="20"/>
          <w:lang w:val="en-GB"/>
        </w:rPr>
        <w:t xml:space="preserve">less friction by means of </w:t>
      </w:r>
      <w:r w:rsidR="0008751D" w:rsidRPr="041E5C19">
        <w:rPr>
          <w:rFonts w:ascii="DeutscheBank" w:hAnsi="DeutscheBank"/>
          <w:sz w:val="20"/>
          <w:szCs w:val="20"/>
          <w:lang w:val="en-GB"/>
        </w:rPr>
        <w:t xml:space="preserve">a simpler, more harmonised regulatory environment, supported by stronger EU-level coordination and trusted standards for responsible AI. </w:t>
      </w:r>
      <w:r w:rsidR="5F1C6433" w:rsidRPr="041E5C19">
        <w:rPr>
          <w:rFonts w:ascii="DeutscheBank" w:hAnsi="DeutscheBank"/>
          <w:sz w:val="20"/>
          <w:szCs w:val="20"/>
          <w:lang w:val="en-GB"/>
        </w:rPr>
        <w:t xml:space="preserve">Second, the need to build capacity </w:t>
      </w:r>
      <w:r w:rsidR="691E0341" w:rsidRPr="041E5C19">
        <w:rPr>
          <w:rFonts w:ascii="DeutscheBank" w:hAnsi="DeutscheBank"/>
          <w:sz w:val="20"/>
          <w:szCs w:val="20"/>
          <w:lang w:val="en-GB"/>
        </w:rPr>
        <w:t>t</w:t>
      </w:r>
      <w:r w:rsidR="5F1C6433" w:rsidRPr="041E5C19">
        <w:rPr>
          <w:rFonts w:ascii="DeutscheBank" w:hAnsi="DeutscheBank"/>
          <w:sz w:val="20"/>
          <w:szCs w:val="20"/>
          <w:lang w:val="en-GB"/>
        </w:rPr>
        <w:t>o</w:t>
      </w:r>
      <w:r w:rsidR="5191B3D4" w:rsidRPr="041E5C19">
        <w:rPr>
          <w:rFonts w:ascii="DeutscheBank" w:hAnsi="DeutscheBank"/>
          <w:sz w:val="20"/>
          <w:szCs w:val="20"/>
          <w:lang w:val="en-GB"/>
        </w:rPr>
        <w:t xml:space="preserve"> </w:t>
      </w:r>
      <w:r w:rsidR="0008751D" w:rsidRPr="041E5C19">
        <w:rPr>
          <w:rFonts w:ascii="DeutscheBank" w:hAnsi="DeutscheBank"/>
          <w:sz w:val="20"/>
          <w:szCs w:val="20"/>
          <w:lang w:val="en-GB"/>
        </w:rPr>
        <w:t>mak</w:t>
      </w:r>
      <w:r w:rsidR="71175BB4" w:rsidRPr="041E5C19">
        <w:rPr>
          <w:rFonts w:ascii="DeutscheBank" w:hAnsi="DeutscheBank"/>
          <w:sz w:val="20"/>
          <w:szCs w:val="20"/>
          <w:lang w:val="en-GB"/>
        </w:rPr>
        <w:t>e</w:t>
      </w:r>
      <w:r w:rsidR="0008751D" w:rsidRPr="041E5C19">
        <w:rPr>
          <w:rFonts w:ascii="DeutscheBank" w:hAnsi="DeutscheBank"/>
          <w:sz w:val="20"/>
          <w:szCs w:val="20"/>
          <w:lang w:val="en-GB"/>
        </w:rPr>
        <w:t xml:space="preserve"> sure the computing power, capital and talent needed to compete are </w:t>
      </w:r>
      <w:proofErr w:type="gramStart"/>
      <w:r w:rsidR="0008751D" w:rsidRPr="041E5C19">
        <w:rPr>
          <w:rFonts w:ascii="DeutscheBank" w:hAnsi="DeutscheBank"/>
          <w:sz w:val="20"/>
          <w:szCs w:val="20"/>
          <w:lang w:val="en-GB"/>
        </w:rPr>
        <w:t>actually in</w:t>
      </w:r>
      <w:proofErr w:type="gramEnd"/>
      <w:r w:rsidR="0008751D" w:rsidRPr="041E5C19">
        <w:rPr>
          <w:rFonts w:ascii="DeutscheBank" w:hAnsi="DeutscheBank"/>
          <w:sz w:val="20"/>
          <w:szCs w:val="20"/>
          <w:lang w:val="en-GB"/>
        </w:rPr>
        <w:t xml:space="preserve"> place in Europe. </w:t>
      </w:r>
      <w:r w:rsidR="355904E1" w:rsidRPr="041E5C19">
        <w:rPr>
          <w:rFonts w:ascii="DeutscheBank" w:hAnsi="DeutscheBank"/>
          <w:sz w:val="20"/>
          <w:szCs w:val="20"/>
          <w:lang w:val="en-GB"/>
        </w:rPr>
        <w:t xml:space="preserve">And third, Europe needs to generate </w:t>
      </w:r>
      <w:r w:rsidR="0008751D" w:rsidRPr="041E5C19">
        <w:rPr>
          <w:rFonts w:ascii="DeutscheBank" w:hAnsi="DeutscheBank"/>
          <w:sz w:val="20"/>
          <w:szCs w:val="20"/>
          <w:lang w:val="en-GB"/>
        </w:rPr>
        <w:t>demand</w:t>
      </w:r>
      <w:r w:rsidR="100694E5" w:rsidRPr="041E5C19">
        <w:rPr>
          <w:rFonts w:ascii="DeutscheBank" w:hAnsi="DeutscheBank"/>
          <w:sz w:val="20"/>
          <w:szCs w:val="20"/>
          <w:lang w:val="en-GB"/>
        </w:rPr>
        <w:t>, for example by means of</w:t>
      </w:r>
      <w:r w:rsidR="0008751D" w:rsidRPr="041E5C19">
        <w:rPr>
          <w:rFonts w:ascii="DeutscheBank" w:hAnsi="DeutscheBank"/>
          <w:sz w:val="20"/>
          <w:szCs w:val="20"/>
          <w:lang w:val="en-GB"/>
        </w:rPr>
        <w:t xml:space="preserve"> competitive tax and incentive frameworks, faster adoption in industry and the public sector, support for AI start-ups, and room for European champions to grow. </w:t>
      </w:r>
    </w:p>
    <w:p w14:paraId="37DAC9A7" w14:textId="2D56BCCA" w:rsidR="0008751D" w:rsidRPr="00BB676A" w:rsidRDefault="0008751D" w:rsidP="0008751D">
      <w:pPr>
        <w:pStyle w:val="Heading1"/>
        <w:pageBreakBefore/>
        <w:jc w:val="both"/>
        <w:rPr>
          <w:rFonts w:ascii="DeutscheBank" w:hAnsi="DeutscheBank"/>
          <w:sz w:val="28"/>
          <w:szCs w:val="28"/>
          <w:lang w:val="en-GB"/>
        </w:rPr>
      </w:pPr>
      <w:bookmarkStart w:id="51" w:name="_Toc240464246"/>
      <w:bookmarkStart w:id="52" w:name="_Toc239930549"/>
      <w:bookmarkStart w:id="53" w:name="_Toc240474434"/>
      <w:bookmarkEnd w:id="51"/>
      <w:r w:rsidRPr="00BB676A">
        <w:rPr>
          <w:rFonts w:ascii="DeutscheBank" w:hAnsi="DeutscheBank"/>
          <w:sz w:val="28"/>
          <w:szCs w:val="28"/>
          <w:lang w:val="en-GB"/>
        </w:rPr>
        <w:lastRenderedPageBreak/>
        <w:t>European banks</w:t>
      </w:r>
      <w:r w:rsidR="002C0CA1">
        <w:rPr>
          <w:rFonts w:ascii="DeutscheBank" w:hAnsi="DeutscheBank"/>
          <w:sz w:val="28"/>
          <w:szCs w:val="28"/>
          <w:lang w:val="en-GB"/>
        </w:rPr>
        <w:t xml:space="preserve"> are well placed to support investment</w:t>
      </w:r>
      <w:bookmarkEnd w:id="52"/>
      <w:bookmarkEnd w:id="53"/>
    </w:p>
    <w:p w14:paraId="5F76CEBA" w14:textId="21889255" w:rsidR="0008751D" w:rsidRPr="00BB676A" w:rsidRDefault="0008751D" w:rsidP="00AA76E2">
      <w:pPr>
        <w:spacing w:after="150" w:line="288" w:lineRule="auto"/>
        <w:rPr>
          <w:rFonts w:ascii="DeutscheBank" w:hAnsi="DeutscheBank"/>
          <w:sz w:val="20"/>
          <w:szCs w:val="20"/>
          <w:lang w:val="en-GB"/>
        </w:rPr>
      </w:pPr>
      <w:r w:rsidRPr="041E5C19">
        <w:rPr>
          <w:rFonts w:ascii="DeutscheBank" w:hAnsi="DeutscheBank"/>
          <w:sz w:val="20"/>
          <w:szCs w:val="20"/>
          <w:lang w:val="en-GB"/>
        </w:rPr>
        <w:t>As investors translate confidence in Europe into concrete investment decisions, the choice of financial partner becomes increasingly important. Here, international companies consistent</w:t>
      </w:r>
      <w:r w:rsidR="78FFBE52" w:rsidRPr="041E5C19">
        <w:rPr>
          <w:rFonts w:ascii="DeutscheBank" w:hAnsi="DeutscheBank"/>
          <w:sz w:val="20"/>
          <w:szCs w:val="20"/>
          <w:lang w:val="en-GB"/>
        </w:rPr>
        <w:t>ly hold</w:t>
      </w:r>
      <w:r w:rsidRPr="041E5C19">
        <w:rPr>
          <w:rFonts w:ascii="DeutscheBank" w:hAnsi="DeutscheBank"/>
          <w:sz w:val="20"/>
          <w:szCs w:val="20"/>
          <w:lang w:val="en-GB"/>
        </w:rPr>
        <w:t xml:space="preserve"> European banks</w:t>
      </w:r>
      <w:r w:rsidR="3BCC0E95" w:rsidRPr="041E5C19">
        <w:rPr>
          <w:rFonts w:ascii="DeutscheBank" w:hAnsi="DeutscheBank"/>
          <w:sz w:val="20"/>
          <w:szCs w:val="20"/>
          <w:lang w:val="en-GB"/>
        </w:rPr>
        <w:t xml:space="preserve"> in high regard</w:t>
      </w:r>
      <w:r w:rsidRPr="041E5C19">
        <w:rPr>
          <w:rFonts w:ascii="DeutscheBank" w:hAnsi="DeutscheBank"/>
          <w:sz w:val="20"/>
          <w:szCs w:val="20"/>
          <w:lang w:val="en-GB"/>
        </w:rPr>
        <w:t>. Their decisions are guided less by cost considerations and more by the qualities that matter most when managing complex cross-border investments: financial stability, strong compliance capabilities and local market expertise. Together, these factors create a meaningful home-market advantage for European banks and help explain their prominent role in supporting international investment across the region.</w:t>
      </w:r>
    </w:p>
    <w:p w14:paraId="6BE5A536" w14:textId="77777777" w:rsidR="0008751D" w:rsidRPr="001E5405" w:rsidRDefault="0008751D" w:rsidP="0008751D">
      <w:pPr>
        <w:spacing w:after="150" w:line="288" w:lineRule="auto"/>
        <w:jc w:val="both"/>
        <w:rPr>
          <w:rFonts w:ascii="DeutscheBank" w:hAnsi="DeutscheBank"/>
          <w:lang w:val="en-GB"/>
        </w:rPr>
      </w:pPr>
    </w:p>
    <w:p w14:paraId="63FFFB2E" w14:textId="77777777" w:rsidR="0008751D" w:rsidRPr="001E5405" w:rsidRDefault="0008751D" w:rsidP="0008751D">
      <w:pPr>
        <w:spacing w:before="40" w:after="90"/>
        <w:jc w:val="both"/>
        <w:rPr>
          <w:rFonts w:ascii="DeutscheBank" w:hAnsi="DeutscheBank"/>
        </w:rPr>
      </w:pPr>
      <w:r w:rsidRPr="001E5405">
        <w:rPr>
          <w:rFonts w:ascii="DeutscheBank" w:hAnsi="DeutscheBank"/>
          <w:b/>
          <w:bCs/>
          <w:caps/>
          <w:color w:val="5A6472"/>
          <w:sz w:val="18"/>
          <w:szCs w:val="18"/>
        </w:rPr>
        <w:t>At a glance</w:t>
      </w:r>
    </w:p>
    <w:tbl>
      <w:tblPr>
        <w:tblW w:w="9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11"/>
        <w:gridCol w:w="2835"/>
        <w:gridCol w:w="3118"/>
      </w:tblGrid>
      <w:tr w:rsidR="0008751D" w:rsidRPr="001E5405" w14:paraId="61FEDA7C" w14:textId="77777777" w:rsidTr="00AB0D8A">
        <w:tc>
          <w:tcPr>
            <w:tcW w:w="311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6E540992" w14:textId="77777777" w:rsidR="0008751D" w:rsidRPr="001E5405" w:rsidRDefault="0008751D" w:rsidP="009C2716">
            <w:pPr>
              <w:spacing w:after="40"/>
              <w:jc w:val="both"/>
              <w:rPr>
                <w:rFonts w:ascii="DeutscheBank" w:hAnsi="DeutscheBank"/>
                <w:lang w:val="en-GB"/>
              </w:rPr>
            </w:pPr>
            <w:r w:rsidRPr="001E5405">
              <w:rPr>
                <w:rFonts w:ascii="DeutscheBank" w:hAnsi="DeutscheBank"/>
                <w:b/>
                <w:bCs/>
                <w:color w:val="0069B1"/>
                <w:sz w:val="30"/>
                <w:szCs w:val="30"/>
                <w:lang w:val="en-GB"/>
              </w:rPr>
              <w:t>60%</w:t>
            </w:r>
          </w:p>
          <w:p w14:paraId="29001B87" w14:textId="77777777" w:rsidR="0008751D" w:rsidRPr="001E5405" w:rsidRDefault="0008751D" w:rsidP="00B975C1">
            <w:pPr>
              <w:rPr>
                <w:rFonts w:ascii="DeutscheBank" w:hAnsi="DeutscheBank"/>
                <w:lang w:val="en-GB"/>
              </w:rPr>
            </w:pPr>
            <w:r w:rsidRPr="001E5405">
              <w:rPr>
                <w:rFonts w:ascii="DeutscheBank" w:hAnsi="DeutscheBank"/>
                <w:color w:val="5A6472"/>
                <w:sz w:val="16"/>
                <w:szCs w:val="16"/>
                <w:lang w:val="en-GB"/>
              </w:rPr>
              <w:t>prefer a European banking partner</w:t>
            </w:r>
          </w:p>
        </w:tc>
        <w:tc>
          <w:tcPr>
            <w:tcW w:w="283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042CDCB1" w14:textId="77777777" w:rsidR="0008751D" w:rsidRPr="001E5405" w:rsidRDefault="0008751D" w:rsidP="009C2716">
            <w:pPr>
              <w:spacing w:after="40"/>
              <w:jc w:val="both"/>
              <w:rPr>
                <w:rFonts w:ascii="DeutscheBank" w:hAnsi="DeutscheBank"/>
                <w:lang w:val="en-GB"/>
              </w:rPr>
            </w:pPr>
            <w:r w:rsidRPr="001E5405">
              <w:rPr>
                <w:rFonts w:ascii="DeutscheBank" w:hAnsi="DeutscheBank"/>
                <w:b/>
                <w:bCs/>
                <w:color w:val="0069B1"/>
                <w:sz w:val="30"/>
                <w:szCs w:val="30"/>
                <w:lang w:val="en-GB"/>
              </w:rPr>
              <w:t>97%</w:t>
            </w:r>
          </w:p>
          <w:p w14:paraId="481B3330" w14:textId="77777777" w:rsidR="0008751D" w:rsidRPr="001E5405" w:rsidRDefault="0008751D" w:rsidP="00B975C1">
            <w:pPr>
              <w:rPr>
                <w:rFonts w:ascii="DeutscheBank" w:hAnsi="DeutscheBank"/>
                <w:lang w:val="en-GB"/>
              </w:rPr>
            </w:pPr>
            <w:r w:rsidRPr="001E5405">
              <w:rPr>
                <w:rFonts w:ascii="DeutscheBank" w:hAnsi="DeutscheBank"/>
                <w:color w:val="5A6472"/>
                <w:sz w:val="16"/>
                <w:szCs w:val="16"/>
                <w:lang w:val="en-GB"/>
              </w:rPr>
              <w:t>preference in the Middle East</w:t>
            </w:r>
          </w:p>
        </w:tc>
        <w:tc>
          <w:tcPr>
            <w:tcW w:w="311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56879DD0" w14:textId="77777777" w:rsidR="0008751D" w:rsidRPr="001E5405" w:rsidRDefault="0008751D" w:rsidP="009C2716">
            <w:pPr>
              <w:spacing w:after="40"/>
              <w:jc w:val="both"/>
              <w:rPr>
                <w:rFonts w:ascii="DeutscheBank" w:hAnsi="DeutscheBank"/>
              </w:rPr>
            </w:pPr>
            <w:r w:rsidRPr="001E5405">
              <w:rPr>
                <w:rFonts w:ascii="DeutscheBank" w:hAnsi="DeutscheBank"/>
                <w:b/>
                <w:bCs/>
                <w:color w:val="0069B1"/>
                <w:sz w:val="30"/>
                <w:szCs w:val="30"/>
              </w:rPr>
              <w:t>37%</w:t>
            </w:r>
          </w:p>
          <w:p w14:paraId="2BBE2B8D" w14:textId="77777777" w:rsidR="0008751D" w:rsidRPr="001E5405" w:rsidRDefault="0008751D" w:rsidP="00B975C1">
            <w:pPr>
              <w:rPr>
                <w:rFonts w:ascii="DeutscheBank" w:hAnsi="DeutscheBank"/>
              </w:rPr>
            </w:pPr>
            <w:proofErr w:type="spellStart"/>
            <w:r w:rsidRPr="001E5405">
              <w:rPr>
                <w:rFonts w:ascii="DeutscheBank" w:hAnsi="DeutscheBank"/>
                <w:color w:val="5A6472"/>
                <w:sz w:val="16"/>
                <w:szCs w:val="16"/>
              </w:rPr>
              <w:t>prioritise</w:t>
            </w:r>
            <w:proofErr w:type="spellEnd"/>
            <w:r w:rsidRPr="001E5405">
              <w:rPr>
                <w:rFonts w:ascii="DeutscheBank" w:hAnsi="DeutscheBank"/>
                <w:color w:val="5A6472"/>
                <w:sz w:val="16"/>
                <w:szCs w:val="16"/>
              </w:rPr>
              <w:t xml:space="preserve"> </w:t>
            </w:r>
            <w:proofErr w:type="spellStart"/>
            <w:r w:rsidRPr="001E5405">
              <w:rPr>
                <w:rFonts w:ascii="DeutscheBank" w:hAnsi="DeutscheBank"/>
                <w:color w:val="5A6472"/>
                <w:sz w:val="16"/>
                <w:szCs w:val="16"/>
              </w:rPr>
              <w:t>financial</w:t>
            </w:r>
            <w:proofErr w:type="spellEnd"/>
            <w:r w:rsidRPr="001E5405">
              <w:rPr>
                <w:rFonts w:ascii="DeutscheBank" w:hAnsi="DeutscheBank"/>
                <w:color w:val="5A6472"/>
                <w:sz w:val="16"/>
                <w:szCs w:val="16"/>
              </w:rPr>
              <w:t xml:space="preserve"> </w:t>
            </w:r>
            <w:proofErr w:type="spellStart"/>
            <w:r w:rsidRPr="001E5405">
              <w:rPr>
                <w:rFonts w:ascii="DeutscheBank" w:hAnsi="DeutscheBank"/>
                <w:color w:val="5A6472"/>
                <w:sz w:val="16"/>
                <w:szCs w:val="16"/>
              </w:rPr>
              <w:t>strength</w:t>
            </w:r>
            <w:proofErr w:type="spellEnd"/>
          </w:p>
        </w:tc>
      </w:tr>
    </w:tbl>
    <w:p w14:paraId="0910C455" w14:textId="77777777" w:rsidR="0008751D" w:rsidRPr="001E5405" w:rsidRDefault="0008751D" w:rsidP="0008751D">
      <w:pPr>
        <w:spacing w:after="80"/>
        <w:jc w:val="both"/>
        <w:rPr>
          <w:rFonts w:ascii="DeutscheBank" w:hAnsi="DeutscheBank"/>
        </w:rPr>
      </w:pPr>
    </w:p>
    <w:p w14:paraId="634898F7" w14:textId="320F9E48" w:rsidR="0008751D" w:rsidRPr="000D3CB8" w:rsidRDefault="0008751D" w:rsidP="00AA76E2">
      <w:pPr>
        <w:pStyle w:val="Heading2"/>
        <w:rPr>
          <w:rFonts w:ascii="DeutscheBank" w:hAnsi="DeutscheBank"/>
          <w:color w:val="000000" w:themeColor="text1"/>
          <w:sz w:val="20"/>
          <w:szCs w:val="20"/>
          <w:lang w:val="en-GB"/>
        </w:rPr>
      </w:pPr>
      <w:bookmarkStart w:id="54" w:name="_Toc239842212"/>
      <w:bookmarkStart w:id="55" w:name="_Toc239930550"/>
      <w:r w:rsidRPr="000D3CB8">
        <w:rPr>
          <w:rFonts w:ascii="DeutscheBank" w:hAnsi="DeutscheBank"/>
          <w:color w:val="000000" w:themeColor="text1"/>
          <w:sz w:val="20"/>
          <w:szCs w:val="20"/>
          <w:lang w:val="en-GB"/>
        </w:rPr>
        <w:t xml:space="preserve">A clear preference for European </w:t>
      </w:r>
      <w:r w:rsidR="00762DF8" w:rsidRPr="000D3CB8">
        <w:rPr>
          <w:rFonts w:ascii="DeutscheBank" w:hAnsi="DeutscheBank"/>
          <w:color w:val="000000" w:themeColor="text1"/>
          <w:sz w:val="20"/>
          <w:szCs w:val="20"/>
          <w:lang w:val="en-GB"/>
        </w:rPr>
        <w:t xml:space="preserve">banking </w:t>
      </w:r>
      <w:r w:rsidRPr="000D3CB8">
        <w:rPr>
          <w:rFonts w:ascii="DeutscheBank" w:hAnsi="DeutscheBank"/>
          <w:color w:val="000000" w:themeColor="text1"/>
          <w:sz w:val="20"/>
          <w:szCs w:val="20"/>
          <w:lang w:val="en-GB"/>
        </w:rPr>
        <w:t>partners</w:t>
      </w:r>
      <w:bookmarkEnd w:id="54"/>
      <w:bookmarkEnd w:id="55"/>
    </w:p>
    <w:p w14:paraId="73211C63" w14:textId="36F921F2" w:rsidR="0008751D" w:rsidRPr="000D3CB8" w:rsidRDefault="0008751D" w:rsidP="00AA76E2">
      <w:pPr>
        <w:spacing w:after="150" w:line="288" w:lineRule="auto"/>
        <w:rPr>
          <w:rFonts w:ascii="DeutscheBank" w:hAnsi="DeutscheBank"/>
          <w:sz w:val="20"/>
          <w:szCs w:val="20"/>
          <w:lang w:val="en-GB"/>
        </w:rPr>
      </w:pPr>
      <w:r w:rsidRPr="000D3CB8">
        <w:rPr>
          <w:rFonts w:ascii="DeutscheBank" w:hAnsi="DeutscheBank"/>
          <w:sz w:val="20"/>
          <w:szCs w:val="20"/>
          <w:lang w:val="en-GB"/>
        </w:rPr>
        <w:t xml:space="preserve">60 percent of </w:t>
      </w:r>
      <w:r w:rsidR="00E2081A" w:rsidRPr="000D3CB8">
        <w:rPr>
          <w:rFonts w:ascii="DeutscheBank" w:hAnsi="DeutscheBank"/>
          <w:sz w:val="20"/>
          <w:szCs w:val="20"/>
          <w:lang w:val="en-GB"/>
        </w:rPr>
        <w:t>respondents</w:t>
      </w:r>
      <w:r w:rsidRPr="000D3CB8">
        <w:rPr>
          <w:rFonts w:ascii="DeutscheBank" w:hAnsi="DeutscheBank"/>
          <w:sz w:val="20"/>
          <w:szCs w:val="20"/>
          <w:lang w:val="en-GB"/>
        </w:rPr>
        <w:t xml:space="preserve"> say they would prefer to work with a European bank when investing in Europe. Proximity and substance count for more than price, which is a structural advantage for European banks on their home ground.</w:t>
      </w:r>
    </w:p>
    <w:p w14:paraId="506B6FF6" w14:textId="62926947" w:rsidR="001311F3" w:rsidRDefault="0008751D" w:rsidP="6765BE50">
      <w:pPr>
        <w:pStyle w:val="Caption"/>
        <w:rPr>
          <w:rFonts w:ascii="DeutscheBank" w:eastAsia="Arial" w:hAnsi="DeutscheBank" w:cs="Arial"/>
          <w:b w:val="0"/>
          <w:color w:val="222222"/>
          <w:lang w:val="en-GB" w:eastAsia="de-DE"/>
          <w14:ligatures w14:val="none"/>
        </w:rPr>
      </w:pPr>
      <w:r w:rsidRPr="041E5C19">
        <w:rPr>
          <w:rFonts w:ascii="DeutscheBank" w:eastAsia="Arial" w:hAnsi="DeutscheBank" w:cs="Arial"/>
          <w:b w:val="0"/>
          <w:color w:val="222222"/>
          <w:lang w:val="en-GB" w:eastAsia="de-DE"/>
        </w:rPr>
        <w:t>The preference is strongest where the appetite for Europe is greatest. It reaches 97 percent in the Middle East</w:t>
      </w:r>
      <w:r w:rsidR="007C0EB2" w:rsidRPr="041E5C19">
        <w:rPr>
          <w:rFonts w:ascii="DeutscheBank" w:eastAsia="Arial" w:hAnsi="DeutscheBank" w:cs="Arial"/>
          <w:b w:val="0"/>
          <w:color w:val="222222"/>
          <w:lang w:val="en-GB" w:eastAsia="de-DE"/>
        </w:rPr>
        <w:t>. I</w:t>
      </w:r>
      <w:r w:rsidR="00A13C73" w:rsidRPr="041E5C19">
        <w:rPr>
          <w:rFonts w:ascii="DeutscheBank" w:eastAsia="Arial" w:hAnsi="DeutscheBank" w:cs="Arial"/>
          <w:b w:val="0"/>
          <w:color w:val="222222"/>
          <w:lang w:val="en-GB" w:eastAsia="de-DE"/>
        </w:rPr>
        <w:t>n</w:t>
      </w:r>
      <w:r w:rsidRPr="041E5C19">
        <w:rPr>
          <w:rFonts w:ascii="DeutscheBank" w:eastAsia="Arial" w:hAnsi="DeutscheBank" w:cs="Arial"/>
          <w:b w:val="0"/>
          <w:color w:val="222222"/>
          <w:lang w:val="en-GB" w:eastAsia="de-DE"/>
        </w:rPr>
        <w:t xml:space="preserve"> the Americas </w:t>
      </w:r>
      <w:r w:rsidR="00A860E6" w:rsidRPr="041E5C19">
        <w:rPr>
          <w:rFonts w:ascii="DeutscheBank" w:eastAsia="Arial" w:hAnsi="DeutscheBank" w:cs="Arial"/>
          <w:b w:val="0"/>
          <w:color w:val="222222"/>
          <w:lang w:val="en-GB" w:eastAsia="de-DE"/>
        </w:rPr>
        <w:t xml:space="preserve">the </w:t>
      </w:r>
      <w:r w:rsidR="002B6756" w:rsidRPr="041E5C19">
        <w:rPr>
          <w:rFonts w:ascii="DeutscheBank" w:eastAsia="Arial" w:hAnsi="DeutscheBank" w:cs="Arial"/>
          <w:b w:val="0"/>
          <w:color w:val="222222"/>
          <w:lang w:val="en-GB" w:eastAsia="de-DE"/>
        </w:rPr>
        <w:t xml:space="preserve">reported preference level is </w:t>
      </w:r>
      <w:r w:rsidR="00E23E1C" w:rsidRPr="041E5C19">
        <w:rPr>
          <w:rFonts w:ascii="DeutscheBank" w:eastAsia="Arial" w:hAnsi="DeutscheBank" w:cs="Arial"/>
          <w:b w:val="0"/>
          <w:color w:val="222222"/>
          <w:lang w:val="en-GB" w:eastAsia="de-DE"/>
        </w:rPr>
        <w:t xml:space="preserve">at </w:t>
      </w:r>
      <w:r w:rsidR="00153A6D" w:rsidRPr="041E5C19">
        <w:rPr>
          <w:rFonts w:ascii="DeutscheBank" w:eastAsia="Arial" w:hAnsi="DeutscheBank" w:cs="Arial"/>
          <w:b w:val="0"/>
          <w:color w:val="222222"/>
          <w:lang w:val="en-GB" w:eastAsia="de-DE"/>
        </w:rPr>
        <w:t>57 percent</w:t>
      </w:r>
      <w:r w:rsidR="00975E10" w:rsidRPr="041E5C19">
        <w:rPr>
          <w:rFonts w:ascii="DeutscheBank" w:eastAsia="Arial" w:hAnsi="DeutscheBank" w:cs="Arial"/>
          <w:b w:val="0"/>
          <w:color w:val="222222"/>
          <w:lang w:val="en-GB" w:eastAsia="de-DE"/>
        </w:rPr>
        <w:t xml:space="preserve">, in Asia-Pacific at 49 percent. </w:t>
      </w:r>
      <w:r w:rsidRPr="041E5C19">
        <w:rPr>
          <w:rFonts w:ascii="DeutscheBank" w:eastAsia="Arial" w:hAnsi="DeutscheBank" w:cs="Arial"/>
          <w:b w:val="0"/>
          <w:color w:val="222222"/>
          <w:lang w:val="en-GB" w:eastAsia="de-DE"/>
        </w:rPr>
        <w:t xml:space="preserve"> </w:t>
      </w:r>
    </w:p>
    <w:p w14:paraId="7872E9CB" w14:textId="77777777" w:rsidR="001311F3" w:rsidRDefault="001311F3" w:rsidP="6765BE50">
      <w:pPr>
        <w:pStyle w:val="Caption"/>
        <w:rPr>
          <w:rFonts w:ascii="DeutscheBank" w:eastAsia="Arial" w:hAnsi="DeutscheBank" w:cs="Arial"/>
          <w:b w:val="0"/>
          <w:iCs w:val="0"/>
          <w:color w:val="222222"/>
          <w:szCs w:val="20"/>
          <w:lang w:val="en-GB" w:eastAsia="de-DE"/>
          <w14:ligatures w14:val="none"/>
        </w:rPr>
      </w:pPr>
    </w:p>
    <w:p w14:paraId="4CB0EAA2" w14:textId="697AE9D4" w:rsidR="0008751D" w:rsidRPr="001311F3" w:rsidRDefault="0008751D" w:rsidP="0008751D">
      <w:pPr>
        <w:pStyle w:val="Caption"/>
        <w:rPr>
          <w:rFonts w:ascii="DeutscheBank" w:eastAsia="Arial" w:hAnsi="DeutscheBank" w:cs="Arial"/>
          <w:color w:val="222222"/>
          <w:szCs w:val="20"/>
          <w:lang w:val="en-GB" w:eastAsia="de-DE"/>
          <w14:ligatures w14:val="none"/>
        </w:rPr>
      </w:pPr>
      <w:r w:rsidRPr="001311F3">
        <w:rPr>
          <w:rFonts w:ascii="DeutscheBank" w:eastAsia="Arial" w:hAnsi="DeutscheBank" w:cs="Arial"/>
          <w:color w:val="222222"/>
          <w:szCs w:val="20"/>
          <w:lang w:val="en-GB" w:eastAsia="de-DE"/>
          <w14:ligatures w14:val="none"/>
        </w:rPr>
        <w:t xml:space="preserve">Figure </w:t>
      </w:r>
      <w:r w:rsidRPr="001311F3">
        <w:rPr>
          <w:rFonts w:ascii="DeutscheBank" w:eastAsia="Arial" w:hAnsi="DeutscheBank" w:cs="Arial"/>
          <w:bCs/>
          <w:iCs w:val="0"/>
          <w:color w:val="222222"/>
          <w:szCs w:val="20"/>
          <w:lang w:val="en-GB" w:eastAsia="de-DE"/>
          <w14:ligatures w14:val="none"/>
        </w:rPr>
        <w:t>2</w:t>
      </w:r>
      <w:r w:rsidR="2A774380" w:rsidRPr="001311F3">
        <w:rPr>
          <w:rFonts w:ascii="DeutscheBank" w:eastAsia="Arial" w:hAnsi="DeutscheBank" w:cs="Arial"/>
          <w:bCs/>
          <w:iCs w:val="0"/>
          <w:color w:val="222222"/>
          <w:szCs w:val="20"/>
          <w:lang w:val="en-GB" w:eastAsia="de-DE"/>
          <w14:ligatures w14:val="none"/>
        </w:rPr>
        <w:t>0</w:t>
      </w:r>
      <w:r w:rsidRPr="001311F3">
        <w:rPr>
          <w:rFonts w:ascii="DeutscheBank" w:eastAsia="Arial" w:hAnsi="DeutscheBank" w:cs="Arial"/>
          <w:color w:val="222222"/>
          <w:szCs w:val="20"/>
          <w:lang w:val="en-GB" w:eastAsia="de-DE"/>
          <w14:ligatures w14:val="none"/>
        </w:rPr>
        <w:t>: Preferred origin of banking partner when investing in Europe</w:t>
      </w:r>
    </w:p>
    <w:p w14:paraId="3A2619C6" w14:textId="3B14D0C2" w:rsidR="0008751D" w:rsidRPr="00267E2F" w:rsidRDefault="1A5BCB69" w:rsidP="0008751D">
      <w:pPr>
        <w:pStyle w:val="Copy"/>
        <w:rPr>
          <w:rFonts w:ascii="DeutscheBank" w:hAnsi="DeutscheBank"/>
          <w:lang w:val="en-GB"/>
        </w:rPr>
      </w:pPr>
      <w:r w:rsidRPr="6765BE50">
        <w:rPr>
          <w:rFonts w:ascii="DeutscheBank" w:eastAsia="Arial" w:hAnsi="DeutscheBank" w:cs="Arial"/>
          <w:color w:val="222222"/>
          <w:lang w:val="en-GB" w:eastAsia="de-DE"/>
          <w14:ligatures w14:val="none"/>
        </w:rPr>
        <w:t>(</w:t>
      </w:r>
      <w:r w:rsidR="782CC5F1" w:rsidRPr="6450EB5D">
        <w:rPr>
          <w:rFonts w:ascii="DeutscheBank" w:eastAsia="Arial" w:hAnsi="DeutscheBank" w:cs="Arial"/>
          <w:color w:val="222222"/>
          <w:lang w:val="en-GB" w:eastAsia="de-DE"/>
        </w:rPr>
        <w:t>A</w:t>
      </w:r>
      <w:r w:rsidR="0008751D">
        <w:rPr>
          <w:rFonts w:ascii="DeutscheBank" w:eastAsia="Arial" w:hAnsi="DeutscheBank" w:cs="Arial"/>
          <w:color w:val="222222"/>
          <w:lang w:val="en-GB" w:eastAsia="de-DE"/>
        </w:rPr>
        <w:t>ll respondents</w:t>
      </w:r>
      <w:r w:rsidR="5A7DDD84" w:rsidRPr="041E5C19">
        <w:rPr>
          <w:rFonts w:ascii="DeutscheBank" w:eastAsia="Arial" w:hAnsi="DeutscheBank" w:cs="Arial"/>
          <w:color w:val="222222"/>
          <w:lang w:val="en-GB" w:eastAsia="de-DE"/>
        </w:rPr>
        <w:t>)</w:t>
      </w:r>
    </w:p>
    <w:p w14:paraId="62B7A15C" w14:textId="77777777" w:rsidR="0008751D" w:rsidRPr="001E5405" w:rsidRDefault="0008751D" w:rsidP="0008751D">
      <w:pPr>
        <w:keepNext/>
        <w:spacing w:before="140" w:after="40"/>
        <w:jc w:val="center"/>
        <w:rPr>
          <w:rFonts w:ascii="DeutscheBank" w:hAnsi="DeutscheBank"/>
        </w:rPr>
      </w:pPr>
      <w:r w:rsidRPr="001E5405">
        <w:rPr>
          <w:rFonts w:ascii="DeutscheBank" w:hAnsi="DeutscheBank"/>
          <w:noProof/>
        </w:rPr>
        <w:drawing>
          <wp:inline distT="0" distB="0" distL="0" distR="0" wp14:anchorId="029CAA3D" wp14:editId="7415105A">
            <wp:extent cx="3802587" cy="2413000"/>
            <wp:effectExtent l="0" t="0" r="7620" b="6350"/>
            <wp:docPr id="1466834793" name="fig23" descr="Bar chart shows partner bank preferences when investing in Europe: European bank 60%, Asian bank 24%, US bank 11%, and no preference 6%. Dark blue bars represent named bank choices, while light gray marks no pre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834793" name="fig23" descr="Bar chart shows partner bank preferences when investing in Europe: European bank 60%, Asian bank 24%, US bank 11%, and no preference 6%. Dark blue bars represent named bank choices, while light gray marks no preference."/>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3818677" cy="2423210"/>
                    </a:xfrm>
                    <a:prstGeom prst="rect">
                      <a:avLst/>
                    </a:prstGeom>
                  </pic:spPr>
                </pic:pic>
              </a:graphicData>
            </a:graphic>
          </wp:inline>
        </w:drawing>
      </w:r>
    </w:p>
    <w:p w14:paraId="39B63DDC" w14:textId="77777777" w:rsidR="0008751D" w:rsidRDefault="0008751D" w:rsidP="0008751D">
      <w:pPr>
        <w:spacing w:after="180"/>
        <w:jc w:val="both"/>
        <w:rPr>
          <w:rFonts w:ascii="DeutscheBank" w:hAnsi="DeutscheBank"/>
          <w:color w:val="000000" w:themeColor="text1"/>
          <w:sz w:val="16"/>
          <w:szCs w:val="16"/>
          <w:lang w:val="en-GB"/>
        </w:rPr>
      </w:pPr>
      <w:r w:rsidRPr="000B0F05">
        <w:rPr>
          <w:rFonts w:ascii="DeutscheBank" w:hAnsi="DeutscheBank"/>
          <w:b/>
          <w:bCs/>
          <w:color w:val="000000" w:themeColor="text1"/>
          <w:sz w:val="16"/>
          <w:szCs w:val="16"/>
          <w:lang w:val="en-GB"/>
        </w:rPr>
        <w:t xml:space="preserve">Source: </w:t>
      </w:r>
      <w:r w:rsidRPr="000B0F05">
        <w:rPr>
          <w:rFonts w:ascii="DeutscheBank" w:hAnsi="DeutscheBank"/>
          <w:color w:val="000000" w:themeColor="text1"/>
          <w:sz w:val="16"/>
          <w:szCs w:val="16"/>
          <w:lang w:val="en-GB"/>
        </w:rPr>
        <w:t>Global Sentiment Survey on Europe 2026, B2B online survey. Base: all respondents, n = 1,200</w:t>
      </w:r>
    </w:p>
    <w:p w14:paraId="1ED1A273" w14:textId="2206C48A" w:rsidR="00C00737" w:rsidRDefault="00C00737">
      <w:pPr>
        <w:spacing w:after="160" w:line="24" w:lineRule="auto"/>
        <w:rPr>
          <w:rFonts w:ascii="DeutscheBank" w:hAnsi="DeutscheBank"/>
          <w:color w:val="000000" w:themeColor="text1"/>
          <w:sz w:val="16"/>
          <w:szCs w:val="16"/>
          <w:lang w:val="en-GB"/>
        </w:rPr>
      </w:pPr>
      <w:r>
        <w:rPr>
          <w:rFonts w:ascii="DeutscheBank" w:hAnsi="DeutscheBank"/>
          <w:color w:val="000000" w:themeColor="text1"/>
          <w:sz w:val="16"/>
          <w:szCs w:val="16"/>
          <w:lang w:val="en-GB"/>
        </w:rPr>
        <w:br w:type="page"/>
      </w:r>
    </w:p>
    <w:p w14:paraId="1F6FE8EE" w14:textId="53C96B13" w:rsidR="0008751D" w:rsidRPr="007E0A52" w:rsidRDefault="00762DF8" w:rsidP="0008751D">
      <w:pPr>
        <w:pStyle w:val="Heading2"/>
        <w:jc w:val="both"/>
        <w:rPr>
          <w:rFonts w:ascii="DeutscheBank" w:hAnsi="DeutscheBank"/>
          <w:color w:val="auto"/>
          <w:sz w:val="20"/>
          <w:szCs w:val="20"/>
          <w:lang w:val="en-GB"/>
        </w:rPr>
      </w:pPr>
      <w:bookmarkStart w:id="56" w:name="_Toc239842213"/>
      <w:bookmarkStart w:id="57" w:name="_Toc239930551"/>
      <w:r w:rsidRPr="007E0A52">
        <w:rPr>
          <w:rFonts w:ascii="DeutscheBank" w:hAnsi="DeutscheBank"/>
          <w:color w:val="auto"/>
          <w:sz w:val="20"/>
          <w:szCs w:val="20"/>
          <w:lang w:val="en-GB"/>
        </w:rPr>
        <w:lastRenderedPageBreak/>
        <w:t xml:space="preserve">Strength, expertise and local knowledge matter </w:t>
      </w:r>
      <w:bookmarkEnd w:id="56"/>
      <w:bookmarkEnd w:id="57"/>
      <w:r w:rsidRPr="007E0A52">
        <w:rPr>
          <w:rFonts w:ascii="DeutscheBank" w:hAnsi="DeutscheBank"/>
          <w:color w:val="auto"/>
          <w:sz w:val="20"/>
          <w:szCs w:val="20"/>
          <w:lang w:val="en-GB"/>
        </w:rPr>
        <w:t>most</w:t>
      </w:r>
    </w:p>
    <w:p w14:paraId="2347BB4B" w14:textId="371BF1FD" w:rsidR="0008751D" w:rsidRPr="00476F1D" w:rsidRDefault="0008751D" w:rsidP="041E5C19">
      <w:pPr>
        <w:spacing w:after="150" w:line="288" w:lineRule="auto"/>
        <w:rPr>
          <w:rFonts w:ascii="DeutscheBank" w:hAnsi="DeutscheBank"/>
          <w:sz w:val="20"/>
          <w:szCs w:val="20"/>
          <w:lang w:val="en-GB"/>
        </w:rPr>
      </w:pPr>
      <w:r w:rsidRPr="041E5C19">
        <w:rPr>
          <w:rFonts w:ascii="DeutscheBank" w:hAnsi="DeutscheBank"/>
          <w:sz w:val="20"/>
          <w:szCs w:val="20"/>
          <w:lang w:val="en-GB"/>
        </w:rPr>
        <w:t xml:space="preserve">The mandate is won mainly on </w:t>
      </w:r>
      <w:r w:rsidR="1BF55FD1" w:rsidRPr="041E5C19">
        <w:rPr>
          <w:rFonts w:ascii="DeutscheBank" w:hAnsi="DeutscheBank"/>
          <w:sz w:val="20"/>
          <w:szCs w:val="20"/>
          <w:lang w:val="en-GB"/>
        </w:rPr>
        <w:t>trust</w:t>
      </w:r>
      <w:r w:rsidRPr="041E5C19">
        <w:rPr>
          <w:rFonts w:ascii="DeutscheBank" w:hAnsi="DeutscheBank"/>
          <w:sz w:val="20"/>
          <w:szCs w:val="20"/>
          <w:lang w:val="en-GB"/>
        </w:rPr>
        <w:t xml:space="preserve"> and </w:t>
      </w:r>
      <w:r w:rsidR="19A46E81" w:rsidRPr="041E5C19">
        <w:rPr>
          <w:rFonts w:ascii="DeutscheBank" w:hAnsi="DeutscheBank"/>
          <w:sz w:val="20"/>
          <w:szCs w:val="20"/>
          <w:lang w:val="en-GB"/>
        </w:rPr>
        <w:t>expertise</w:t>
      </w:r>
      <w:r w:rsidRPr="041E5C19">
        <w:rPr>
          <w:rFonts w:ascii="DeutscheBank" w:hAnsi="DeutscheBank"/>
          <w:sz w:val="20"/>
          <w:szCs w:val="20"/>
          <w:lang w:val="en-GB"/>
        </w:rPr>
        <w:t>. The bank of choice combines financial strength (37 percent), strong risk and compliance capabilities (36 percent) and local market and regulatory expertise (33 percent). Closely behind is the quality of the digital banking platform (31 percent). Broad European presence and deep product capabilities follow (both 30 percent), while competitive pricing (26 percent) and an existing banking relationship (19 percent) come lower down the list.</w:t>
      </w:r>
    </w:p>
    <w:p w14:paraId="11E8F501" w14:textId="02D5363C" w:rsidR="0008751D" w:rsidRPr="00BB676A" w:rsidRDefault="0008751D" w:rsidP="00AA76E2">
      <w:pPr>
        <w:spacing w:after="150" w:line="288" w:lineRule="auto"/>
        <w:rPr>
          <w:rFonts w:ascii="DeutscheBank" w:hAnsi="DeutscheBank"/>
          <w:sz w:val="20"/>
          <w:szCs w:val="20"/>
          <w:lang w:val="en-GB"/>
        </w:rPr>
      </w:pPr>
      <w:r w:rsidRPr="00BB676A">
        <w:rPr>
          <w:rFonts w:ascii="DeutscheBank" w:hAnsi="DeutscheBank"/>
          <w:sz w:val="20"/>
          <w:szCs w:val="20"/>
          <w:lang w:val="en-GB"/>
        </w:rPr>
        <w:t>That order is worth reading carefully. A competitive price is always relevant, and in the end economic value is part of every decision. But price is not the main factor investors name when choosing a bank; what counts most is trust, expertise and the ability to deliver. That is the ground on which established European banks compete best</w:t>
      </w:r>
      <w:r w:rsidR="368D6E18" w:rsidRPr="6765BE50">
        <w:rPr>
          <w:rFonts w:ascii="DeutscheBank" w:hAnsi="DeutscheBank"/>
          <w:sz w:val="20"/>
          <w:szCs w:val="20"/>
          <w:lang w:val="en-GB"/>
        </w:rPr>
        <w:t xml:space="preserve"> –</w:t>
      </w:r>
      <w:r w:rsidRPr="00BB676A">
        <w:rPr>
          <w:rFonts w:ascii="DeutscheBank" w:hAnsi="DeutscheBank"/>
          <w:sz w:val="20"/>
          <w:szCs w:val="20"/>
          <w:lang w:val="en-GB"/>
        </w:rPr>
        <w:t xml:space="preserve"> a clear opportunity to turn global confidence in Europe into lasting client relationships.</w:t>
      </w:r>
    </w:p>
    <w:p w14:paraId="310BE927" w14:textId="6FF2D8A7" w:rsidR="0008751D" w:rsidRPr="000B0F05" w:rsidRDefault="0008751D" w:rsidP="0008751D">
      <w:pPr>
        <w:pStyle w:val="Caption"/>
        <w:rPr>
          <w:rFonts w:ascii="DeutscheBank" w:eastAsia="Arial" w:hAnsi="DeutscheBank" w:cs="Arial"/>
          <w:lang w:val="en-GB" w:eastAsia="de-DE"/>
          <w14:ligatures w14:val="none"/>
        </w:rPr>
      </w:pPr>
      <w:r w:rsidRPr="6765BE50">
        <w:rPr>
          <w:rFonts w:ascii="DeutscheBank" w:eastAsia="Arial" w:hAnsi="DeutscheBank" w:cs="Arial"/>
          <w:lang w:val="en-GB" w:eastAsia="de-DE"/>
          <w14:ligatures w14:val="none"/>
        </w:rPr>
        <w:t>Figure 2</w:t>
      </w:r>
      <w:r w:rsidR="6FA3309C" w:rsidRPr="6765BE50">
        <w:rPr>
          <w:rFonts w:ascii="DeutscheBank" w:eastAsia="Arial" w:hAnsi="DeutscheBank" w:cs="Arial"/>
          <w:lang w:val="en-GB" w:eastAsia="de-DE"/>
        </w:rPr>
        <w:t>1</w:t>
      </w:r>
      <w:r w:rsidRPr="6765BE50">
        <w:rPr>
          <w:rFonts w:ascii="DeutscheBank" w:eastAsia="Arial" w:hAnsi="DeutscheBank" w:cs="Arial"/>
          <w:lang w:val="en-GB" w:eastAsia="de-DE"/>
        </w:rPr>
        <w:t>: Most important criteria when choosing a banking partner for Europe</w:t>
      </w:r>
    </w:p>
    <w:p w14:paraId="30FC4314" w14:textId="77777777" w:rsidR="0008751D" w:rsidRPr="00267E2F" w:rsidRDefault="0008751D" w:rsidP="0008751D">
      <w:pPr>
        <w:pStyle w:val="Copy"/>
        <w:rPr>
          <w:rFonts w:ascii="DeutscheBank" w:hAnsi="DeutscheBank"/>
          <w:szCs w:val="20"/>
          <w:lang w:val="en-GB"/>
        </w:rPr>
      </w:pPr>
      <w:r>
        <w:rPr>
          <w:rFonts w:ascii="DeutscheBank" w:eastAsia="Arial" w:hAnsi="DeutscheBank" w:cs="Arial"/>
          <w:color w:val="222222"/>
          <w:szCs w:val="20"/>
          <w:lang w:val="en-GB" w:eastAsia="de-DE"/>
          <w14:ligatures w14:val="none"/>
        </w:rPr>
        <w:t>S</w:t>
      </w:r>
      <w:r w:rsidRPr="00267E2F">
        <w:rPr>
          <w:rFonts w:ascii="DeutscheBank" w:eastAsia="Arial" w:hAnsi="DeutscheBank" w:cs="Arial"/>
          <w:color w:val="222222"/>
          <w:szCs w:val="20"/>
          <w:lang w:val="en-GB" w:eastAsia="de-DE"/>
          <w14:ligatures w14:val="none"/>
        </w:rPr>
        <w:t xml:space="preserve">elect the three most important </w:t>
      </w:r>
      <w:r>
        <w:rPr>
          <w:rFonts w:ascii="DeutscheBank" w:eastAsia="Arial" w:hAnsi="DeutscheBank" w:cs="Arial"/>
          <w:color w:val="222222"/>
          <w:szCs w:val="20"/>
          <w:lang w:val="en-GB" w:eastAsia="de-DE"/>
          <w14:ligatures w14:val="none"/>
        </w:rPr>
        <w:t>(all respondents)</w:t>
      </w:r>
    </w:p>
    <w:p w14:paraId="58A61BCC" w14:textId="77777777" w:rsidR="0008751D" w:rsidRPr="001E5405" w:rsidRDefault="0008751D" w:rsidP="0008751D">
      <w:pPr>
        <w:keepNext/>
        <w:spacing w:before="140" w:after="40"/>
        <w:jc w:val="center"/>
        <w:rPr>
          <w:rFonts w:ascii="DeutscheBank" w:hAnsi="DeutscheBank"/>
        </w:rPr>
      </w:pPr>
      <w:r>
        <w:rPr>
          <w:noProof/>
        </w:rPr>
        <w:drawing>
          <wp:inline distT="0" distB="0" distL="0" distR="0" wp14:anchorId="3A964A01" wp14:editId="35532A4C">
            <wp:extent cx="4536620" cy="3106927"/>
            <wp:effectExtent l="0" t="0" r="0" b="0"/>
            <wp:docPr id="583495931" name="fig24" descr="Horizontal bar chart ranks factors influencing banking selection, with navyblue bars and percentage labels. Financial strength leads at 37%, followed by strong risk and compliance capabilities at 36%; existing banking relationship ranks lowest a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495931" name="fig24" descr="Horizontal bar chart ranks factors influencing banking selection, with navyblue bars and percentage labels. Financial strength leads at 37%, followed by strong risk and compliance capabilities at 36%; existing banking relationship ranks lowest at 19%."/>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4542984" cy="3111286"/>
                    </a:xfrm>
                    <a:prstGeom prst="rect">
                      <a:avLst/>
                    </a:prstGeom>
                  </pic:spPr>
                </pic:pic>
              </a:graphicData>
            </a:graphic>
          </wp:inline>
        </w:drawing>
      </w:r>
    </w:p>
    <w:p w14:paraId="78F2540D" w14:textId="1074CE94" w:rsidR="041E5C19" w:rsidRDefault="041E5C19" w:rsidP="041E5C19">
      <w:pPr>
        <w:spacing w:after="180"/>
        <w:jc w:val="both"/>
        <w:rPr>
          <w:rFonts w:ascii="DeutscheBank" w:hAnsi="DeutscheBank"/>
          <w:b/>
          <w:bCs/>
          <w:color w:val="000000" w:themeColor="text1"/>
          <w:sz w:val="16"/>
          <w:szCs w:val="16"/>
          <w:lang w:val="en-GB"/>
        </w:rPr>
      </w:pPr>
    </w:p>
    <w:p w14:paraId="77855086" w14:textId="77777777" w:rsidR="0008751D" w:rsidRDefault="0008751D" w:rsidP="0008751D">
      <w:pPr>
        <w:spacing w:after="180"/>
        <w:jc w:val="both"/>
        <w:rPr>
          <w:rFonts w:ascii="DeutscheBank" w:hAnsi="DeutscheBank"/>
          <w:color w:val="000000" w:themeColor="text1"/>
          <w:sz w:val="16"/>
          <w:szCs w:val="16"/>
          <w:lang w:val="en-GB"/>
        </w:rPr>
      </w:pPr>
      <w:r w:rsidRPr="000B0F05">
        <w:rPr>
          <w:rFonts w:ascii="DeutscheBank" w:hAnsi="DeutscheBank"/>
          <w:b/>
          <w:bCs/>
          <w:color w:val="000000" w:themeColor="text1"/>
          <w:sz w:val="16"/>
          <w:szCs w:val="16"/>
          <w:lang w:val="en-GB"/>
        </w:rPr>
        <w:t xml:space="preserve">Source: </w:t>
      </w:r>
      <w:r w:rsidRPr="000B0F05">
        <w:rPr>
          <w:rFonts w:ascii="DeutscheBank" w:hAnsi="DeutscheBank"/>
          <w:color w:val="000000" w:themeColor="text1"/>
          <w:sz w:val="16"/>
          <w:szCs w:val="16"/>
          <w:lang w:val="en-GB"/>
        </w:rPr>
        <w:t>Global Sentiment Survey on Europe 2026, B2B online survey. Base: all respondents, n = 1,200</w:t>
      </w:r>
    </w:p>
    <w:p w14:paraId="506F28B4" w14:textId="532DDB53" w:rsidR="0008751D" w:rsidRPr="00BB676A" w:rsidRDefault="0DFE589E" w:rsidP="00AA76E2">
      <w:pPr>
        <w:pStyle w:val="Heading1"/>
        <w:pageBreakBefore/>
        <w:numPr>
          <w:ilvl w:val="0"/>
          <w:numId w:val="0"/>
        </w:numPr>
        <w:ind w:left="432" w:hanging="432"/>
        <w:rPr>
          <w:rFonts w:ascii="DeutscheBank" w:hAnsi="DeutscheBank"/>
          <w:sz w:val="28"/>
          <w:szCs w:val="28"/>
          <w:lang w:val="en-GB"/>
        </w:rPr>
      </w:pPr>
      <w:bookmarkStart w:id="58" w:name="_Toc239842214"/>
      <w:bookmarkStart w:id="59" w:name="_Toc239930552"/>
      <w:bookmarkStart w:id="60" w:name="_Toc240474435"/>
      <w:r w:rsidRPr="6765BE50">
        <w:rPr>
          <w:rFonts w:ascii="DeutscheBank" w:hAnsi="DeutscheBank"/>
          <w:sz w:val="28"/>
          <w:szCs w:val="28"/>
          <w:lang w:val="en-GB"/>
        </w:rPr>
        <w:lastRenderedPageBreak/>
        <w:t xml:space="preserve">Summary: </w:t>
      </w:r>
      <w:r w:rsidR="0008751D" w:rsidRPr="00BB676A">
        <w:rPr>
          <w:rFonts w:ascii="DeutscheBank" w:hAnsi="DeutscheBank"/>
          <w:sz w:val="28"/>
          <w:szCs w:val="28"/>
          <w:lang w:val="en-GB"/>
        </w:rPr>
        <w:t>What the results mean for Europe</w:t>
      </w:r>
      <w:bookmarkEnd w:id="58"/>
      <w:bookmarkEnd w:id="59"/>
      <w:bookmarkEnd w:id="60"/>
    </w:p>
    <w:p w14:paraId="53795D54" w14:textId="6BECDB94" w:rsidR="0008751D" w:rsidRPr="00AC08A7" w:rsidRDefault="0008751D" w:rsidP="00AA76E2">
      <w:pPr>
        <w:spacing w:after="150" w:line="288" w:lineRule="auto"/>
        <w:rPr>
          <w:lang w:val="en-US"/>
        </w:rPr>
      </w:pPr>
      <w:r w:rsidRPr="041E5C19">
        <w:rPr>
          <w:rFonts w:ascii="DeutscheBank" w:hAnsi="DeutscheBank"/>
          <w:sz w:val="20"/>
          <w:szCs w:val="20"/>
          <w:lang w:val="en-GB"/>
        </w:rPr>
        <w:t xml:space="preserve">The findings throughout this report point to a consistent conclusion: </w:t>
      </w:r>
      <w:r w:rsidR="000E663F" w:rsidRPr="041E5C19">
        <w:rPr>
          <w:rFonts w:ascii="DeutscheBank" w:hAnsi="DeutscheBank"/>
          <w:sz w:val="20"/>
          <w:szCs w:val="20"/>
          <w:lang w:val="en-GB"/>
        </w:rPr>
        <w:t>i</w:t>
      </w:r>
      <w:r w:rsidR="7B49F6C7" w:rsidRPr="041E5C19">
        <w:rPr>
          <w:rFonts w:ascii="DeutscheBank" w:hAnsi="DeutscheBank"/>
          <w:sz w:val="20"/>
          <w:szCs w:val="20"/>
          <w:lang w:val="en-GB"/>
        </w:rPr>
        <w:t>nvestor</w:t>
      </w:r>
      <w:r w:rsidR="507CDB06" w:rsidRPr="041E5C19">
        <w:rPr>
          <w:rFonts w:ascii="DeutscheBank" w:hAnsi="DeutscheBank"/>
          <w:sz w:val="20"/>
          <w:szCs w:val="20"/>
          <w:lang w:val="en-GB"/>
        </w:rPr>
        <w:t>s see</w:t>
      </w:r>
      <w:r w:rsidR="7B49F6C7" w:rsidRPr="041E5C19">
        <w:rPr>
          <w:rFonts w:ascii="DeutscheBank" w:hAnsi="DeutscheBank"/>
          <w:sz w:val="20"/>
          <w:szCs w:val="20"/>
          <w:lang w:val="en-GB"/>
        </w:rPr>
        <w:t xml:space="preserve"> Europe </w:t>
      </w:r>
      <w:r w:rsidR="028060DC" w:rsidRPr="041E5C19">
        <w:rPr>
          <w:rFonts w:ascii="DeutscheBank" w:hAnsi="DeutscheBank"/>
          <w:sz w:val="20"/>
          <w:szCs w:val="20"/>
          <w:lang w:val="en-GB"/>
        </w:rPr>
        <w:t>as a region</w:t>
      </w:r>
      <w:r w:rsidR="7B49F6C7" w:rsidRPr="041E5C19">
        <w:rPr>
          <w:rFonts w:ascii="DeutscheBank" w:hAnsi="DeutscheBank"/>
          <w:sz w:val="20"/>
          <w:szCs w:val="20"/>
          <w:lang w:val="en-GB"/>
        </w:rPr>
        <w:t xml:space="preserve"> of </w:t>
      </w:r>
      <w:r w:rsidR="028060DC" w:rsidRPr="041E5C19">
        <w:rPr>
          <w:rFonts w:ascii="DeutscheBank" w:hAnsi="DeutscheBank"/>
          <w:sz w:val="20"/>
          <w:szCs w:val="20"/>
          <w:lang w:val="en-GB"/>
        </w:rPr>
        <w:t>opportunities</w:t>
      </w:r>
      <w:r w:rsidR="5D4B80FB" w:rsidRPr="041E5C19">
        <w:rPr>
          <w:rFonts w:ascii="DeutscheBank" w:hAnsi="DeutscheBank"/>
          <w:sz w:val="20"/>
          <w:szCs w:val="20"/>
          <w:lang w:val="en-GB"/>
        </w:rPr>
        <w:t>.</w:t>
      </w:r>
      <w:r w:rsidR="00155D19" w:rsidRPr="041E5C19">
        <w:rPr>
          <w:rFonts w:ascii="DeutscheBank" w:hAnsi="DeutscheBank"/>
          <w:sz w:val="20"/>
          <w:szCs w:val="20"/>
          <w:lang w:val="en-GB"/>
        </w:rPr>
        <w:t xml:space="preserve"> </w:t>
      </w:r>
      <w:r w:rsidRPr="041E5C19">
        <w:rPr>
          <w:rFonts w:ascii="DeutscheBank" w:hAnsi="DeutscheBank"/>
          <w:sz w:val="20"/>
          <w:szCs w:val="20"/>
          <w:lang w:val="en-GB"/>
        </w:rPr>
        <w:t xml:space="preserve">Its attractiveness is broad-based, its relevance is increasing, and confidence is already being reflected in investment intentions. </w:t>
      </w:r>
      <w:r w:rsidR="4D132D21" w:rsidRPr="041E5C19">
        <w:rPr>
          <w:rFonts w:ascii="DeutscheBank" w:hAnsi="DeutscheBank"/>
          <w:sz w:val="20"/>
          <w:szCs w:val="20"/>
          <w:lang w:val="en-GB"/>
        </w:rPr>
        <w:t xml:space="preserve"> The opportunity now is to convert that confidence into tangible economic outcomes through greater market integration, regulatory simplification and a stronger environment for innovation.</w:t>
      </w:r>
      <w:r w:rsidR="5C79B578" w:rsidRPr="041E5C19">
        <w:rPr>
          <w:rFonts w:ascii="DeutscheBank" w:hAnsi="DeutscheBank"/>
          <w:sz w:val="20"/>
          <w:szCs w:val="20"/>
          <w:lang w:val="en-GB"/>
        </w:rPr>
        <w:t xml:space="preserve">  </w:t>
      </w:r>
    </w:p>
    <w:p w14:paraId="71FE347B" w14:textId="031F9577" w:rsidR="0008751D" w:rsidRPr="00BB676A" w:rsidRDefault="0008751D" w:rsidP="00AA76E2">
      <w:pPr>
        <w:spacing w:after="150" w:line="288" w:lineRule="auto"/>
        <w:rPr>
          <w:rFonts w:ascii="DeutscheBank" w:hAnsi="DeutscheBank"/>
          <w:sz w:val="20"/>
          <w:szCs w:val="20"/>
          <w:lang w:val="en-GB"/>
        </w:rPr>
      </w:pPr>
      <w:r w:rsidRPr="041E5C19">
        <w:rPr>
          <w:rFonts w:ascii="DeutscheBank" w:hAnsi="DeutscheBank"/>
          <w:sz w:val="20"/>
          <w:szCs w:val="20"/>
          <w:lang w:val="en-GB"/>
        </w:rPr>
        <w:t xml:space="preserve">The message is both encouraging and actionable. Europe already benefits from powerful strengths, including innovation, growth potential, resilience and international reach. The focus now is on removing the practical barriers that continue to hold investment back, particularly around costs, regulation, market integration and AI governance. Because these concerns relate to the business environment rather than to Europe’s underlying attractiveness, they can be addressed. </w:t>
      </w:r>
    </w:p>
    <w:p w14:paraId="40305223" w14:textId="0ACE483B" w:rsidR="0008751D" w:rsidRPr="00BB676A" w:rsidRDefault="0008751D" w:rsidP="6765BE50">
      <w:pPr>
        <w:spacing w:line="300" w:lineRule="auto"/>
        <w:rPr>
          <w:rFonts w:ascii="DeutscheBank" w:hAnsi="DeutscheBank"/>
          <w:sz w:val="20"/>
          <w:szCs w:val="20"/>
          <w:lang w:val="en-GB"/>
        </w:rPr>
      </w:pPr>
      <w:r w:rsidRPr="00BB676A">
        <w:rPr>
          <w:rFonts w:ascii="DeutscheBank" w:hAnsi="DeutscheBank"/>
          <w:sz w:val="20"/>
          <w:szCs w:val="20"/>
          <w:lang w:val="en-GB"/>
        </w:rPr>
        <w:t xml:space="preserve">For European banks, the message is clear. International investors prefer partners that combine financial strength, trusted risk and compliance expertise, and deep local market knowledge. Because these factors matter more than price alone, European banks benefit from a meaningful competitive advantage. </w:t>
      </w:r>
      <w:r w:rsidR="06175216" w:rsidRPr="6765BE50">
        <w:rPr>
          <w:rFonts w:ascii="DeutscheBank" w:hAnsi="DeutscheBank"/>
          <w:sz w:val="20"/>
          <w:szCs w:val="20"/>
          <w:lang w:val="en-GB"/>
        </w:rPr>
        <w:t>Banks therefore have a critical role to play. T</w:t>
      </w:r>
      <w:r w:rsidR="06175216" w:rsidRPr="000A0F9A">
        <w:rPr>
          <w:rFonts w:ascii="DeutscheBank" w:hAnsi="DeutscheBank"/>
          <w:sz w:val="20"/>
          <w:szCs w:val="20"/>
          <w:lang w:val="en-GB"/>
        </w:rPr>
        <w:t>hey must work closely with and advise investors to help turn international interest in Europe into investment, growth and long-term prosperity.</w:t>
      </w:r>
      <w:r w:rsidR="06175216" w:rsidRPr="6765BE50">
        <w:rPr>
          <w:rFonts w:ascii="DeutscheBank" w:hAnsi="DeutscheBank"/>
          <w:sz w:val="20"/>
          <w:szCs w:val="20"/>
          <w:lang w:val="en-GB"/>
        </w:rPr>
        <w:t xml:space="preserve"> </w:t>
      </w:r>
    </w:p>
    <w:p w14:paraId="18CBE182" w14:textId="1D15B6F6" w:rsidR="0008751D" w:rsidRPr="00D97274" w:rsidRDefault="0008751D" w:rsidP="00AC08A7">
      <w:pPr>
        <w:spacing w:line="300" w:lineRule="auto"/>
        <w:jc w:val="both"/>
        <w:rPr>
          <w:rFonts w:ascii="Segoe UI" w:eastAsia="Segoe UI" w:hAnsi="Segoe UI" w:cs="Segoe UI"/>
          <w:lang w:val="en-GB"/>
        </w:rPr>
      </w:pPr>
    </w:p>
    <w:sectPr w:rsidR="0008751D" w:rsidRPr="00D97274" w:rsidSect="00DF3CDF">
      <w:headerReference w:type="even" r:id="rId33"/>
      <w:headerReference w:type="default" r:id="rId34"/>
      <w:footerReference w:type="even" r:id="rId35"/>
      <w:footerReference w:type="default" r:id="rId36"/>
      <w:headerReference w:type="first" r:id="rId37"/>
      <w:footerReference w:type="first" r:id="rId38"/>
      <w:pgSz w:w="11906" w:h="16838" w:code="9"/>
      <w:pgMar w:top="1134" w:right="1416" w:bottom="567" w:left="1418"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C480C" w14:textId="77777777" w:rsidR="0099710F" w:rsidRDefault="0099710F" w:rsidP="0008243A">
      <w:r>
        <w:separator/>
      </w:r>
    </w:p>
  </w:endnote>
  <w:endnote w:type="continuationSeparator" w:id="0">
    <w:p w14:paraId="1462CBAF" w14:textId="77777777" w:rsidR="0099710F" w:rsidRDefault="0099710F" w:rsidP="00082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utscheBank">
    <w:altName w:val="Cambria"/>
    <w:panose1 w:val="020B0503020202030204"/>
    <w:charset w:val="00"/>
    <w:family w:val="swiss"/>
    <w:pitch w:val="variable"/>
    <w:sig w:usb0="A00002EF" w:usb1="4000003B" w:usb2="0000002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DeutscheBank Medium">
    <w:panose1 w:val="020B0603020202030204"/>
    <w:charset w:val="00"/>
    <w:family w:val="swiss"/>
    <w:pitch w:val="variable"/>
    <w:sig w:usb0="A00002EF" w:usb1="4000003B" w:usb2="00000020" w:usb3="00000000" w:csb0="0000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44F11" w14:textId="76248900" w:rsidR="00791E3F" w:rsidRDefault="006F5258">
    <w:pPr>
      <w:pStyle w:val="Footer"/>
    </w:pPr>
    <w:r>
      <w:rPr>
        <w:noProof/>
        <w14:ligatures w14:val="standardContextual"/>
      </w:rPr>
      <mc:AlternateContent>
        <mc:Choice Requires="wps">
          <w:drawing>
            <wp:anchor distT="0" distB="0" distL="0" distR="0" simplePos="0" relativeHeight="251658243" behindDoc="0" locked="0" layoutInCell="1" allowOverlap="1" wp14:anchorId="6B9FF7BC" wp14:editId="515CA553">
              <wp:simplePos x="635" y="635"/>
              <wp:positionH relativeFrom="page">
                <wp:align>center</wp:align>
              </wp:positionH>
              <wp:positionV relativeFrom="page">
                <wp:align>bottom</wp:align>
              </wp:positionV>
              <wp:extent cx="26035" cy="345440"/>
              <wp:effectExtent l="0" t="0" r="12065" b="0"/>
              <wp:wrapNone/>
              <wp:docPr id="1275901909" name="Textfeld 9" descr="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035" cy="345440"/>
                      </a:xfrm>
                      <a:prstGeom prst="rect">
                        <a:avLst/>
                      </a:prstGeom>
                      <a:noFill/>
                      <a:ln>
                        <a:noFill/>
                      </a:ln>
                    </wps:spPr>
                    <wps:txbx>
                      <w:txbxContent>
                        <w:p w14:paraId="74D0D670" w14:textId="0ABF88D7" w:rsidR="006F5258" w:rsidRPr="006F5258" w:rsidRDefault="006F5258" w:rsidP="006F5258">
                          <w:pPr>
                            <w:rPr>
                              <w:rFonts w:ascii="Aptos" w:eastAsia="Aptos" w:hAnsi="Aptos" w:cs="Aptos"/>
                              <w:noProof/>
                              <w:color w:val="000000"/>
                              <w:sz w:val="20"/>
                              <w:szCs w:val="20"/>
                            </w:rPr>
                          </w:pPr>
                          <w:r w:rsidRPr="006F5258">
                            <w:rPr>
                              <w:rFonts w:ascii="Aptos" w:eastAsia="Aptos" w:hAnsi="Aptos" w:cs="Aptos"/>
                              <w:noProof/>
                              <w:color w:val="000000"/>
                              <w:sz w:val="20"/>
                              <w:szCs w:val="20"/>
                            </w:rPr>
                            <w:t xml:space="preser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6B9FF7BC">
              <v:stroke joinstyle="miter"/>
              <v:path gradientshapeok="t" o:connecttype="rect"/>
            </v:shapetype>
            <v:shape id="Textfeld 9" style="position:absolute;margin-left:0;margin-top:0;width:2.05pt;height:27.2pt;z-index:251658243;visibility:visible;mso-wrap-style:none;mso-wrap-distance-left:0;mso-wrap-distance-top:0;mso-wrap-distance-right:0;mso-wrap-distance-bottom:0;mso-position-horizontal:center;mso-position-horizontal-relative:page;mso-position-vertical:bottom;mso-position-vertical-relative:page;v-text-anchor:bottom" alt=" "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">
              <v:textbox style="mso-fit-shape-to-text:t" inset="0,0,0,15pt">
                <w:txbxContent>
                  <w:p w:rsidRPr="006F5258" w:rsidR="006F5258" w:rsidP="006F5258" w:rsidRDefault="006F5258" w14:paraId="74D0D670" w14:textId="0ABF88D7">
                    <w:pPr>
                      <w:rPr>
                        <w:rFonts w:ascii="Aptos" w:hAnsi="Aptos" w:eastAsia="Aptos" w:cs="Aptos"/>
                        <w:noProof/>
                        <w:color w:val="000000"/>
                        <w:sz w:val="20"/>
                        <w:szCs w:val="20"/>
                      </w:rPr>
                    </w:pPr>
                    <w:r w:rsidRPr="006F5258">
                      <w:rPr>
                        <w:rFonts w:ascii="Aptos" w:hAnsi="Aptos" w:eastAsia="Aptos" w:cs="Aptos"/>
                        <w:noProof/>
                        <w:color w:val="000000"/>
                        <w:sz w:val="20"/>
                        <w:szCs w:val="20"/>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42FA1" w14:textId="72A8C50D" w:rsidR="00D02FA5" w:rsidRPr="0008243A" w:rsidRDefault="006F5258" w:rsidP="00612964">
    <w:pPr>
      <w:pStyle w:val="Footer"/>
    </w:pPr>
    <w:r>
      <w:rPr>
        <w:noProof/>
        <w14:ligatures w14:val="standardContextual"/>
      </w:rPr>
      <mc:AlternateContent>
        <mc:Choice Requires="wps">
          <w:drawing>
            <wp:anchor distT="0" distB="0" distL="0" distR="0" simplePos="0" relativeHeight="251658244" behindDoc="0" locked="0" layoutInCell="1" allowOverlap="1" wp14:anchorId="53E2E8F5" wp14:editId="1200560D">
              <wp:simplePos x="904875" y="10229850"/>
              <wp:positionH relativeFrom="page">
                <wp:align>center</wp:align>
              </wp:positionH>
              <wp:positionV relativeFrom="page">
                <wp:align>bottom</wp:align>
              </wp:positionV>
              <wp:extent cx="26035" cy="345440"/>
              <wp:effectExtent l="0" t="0" r="12065" b="0"/>
              <wp:wrapNone/>
              <wp:docPr id="1134475174" name="Textfeld 10" descr="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035" cy="345440"/>
                      </a:xfrm>
                      <a:prstGeom prst="rect">
                        <a:avLst/>
                      </a:prstGeom>
                      <a:noFill/>
                      <a:ln>
                        <a:noFill/>
                      </a:ln>
                    </wps:spPr>
                    <wps:txbx>
                      <w:txbxContent>
                        <w:p w14:paraId="55AA9DDA" w14:textId="0D7688B8" w:rsidR="006F5258" w:rsidRPr="006F5258" w:rsidRDefault="006F5258" w:rsidP="006F5258">
                          <w:pPr>
                            <w:rPr>
                              <w:rFonts w:ascii="Aptos" w:eastAsia="Aptos" w:hAnsi="Aptos" w:cs="Aptos"/>
                              <w:noProof/>
                              <w:color w:val="000000"/>
                              <w:sz w:val="20"/>
                              <w:szCs w:val="20"/>
                            </w:rPr>
                          </w:pPr>
                          <w:r w:rsidRPr="006F5258">
                            <w:rPr>
                              <w:rFonts w:ascii="Aptos" w:eastAsia="Aptos" w:hAnsi="Aptos" w:cs="Aptos"/>
                              <w:noProof/>
                              <w:color w:val="000000"/>
                              <w:sz w:val="20"/>
                              <w:szCs w:val="20"/>
                            </w:rPr>
                            <w:t xml:space="preser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53E2E8F5">
              <v:stroke joinstyle="miter"/>
              <v:path gradientshapeok="t" o:connecttype="rect"/>
            </v:shapetype>
            <v:shape id="Textfeld 10" style="position:absolute;margin-left:0;margin-top:0;width:2.05pt;height:27.2pt;z-index:251658244;visibility:visible;mso-wrap-style:none;mso-wrap-distance-left:0;mso-wrap-distance-top:0;mso-wrap-distance-right:0;mso-wrap-distance-bottom:0;mso-position-horizontal:center;mso-position-horizontal-relative:page;mso-position-vertical:bottom;mso-position-vertical-relative:page;v-text-anchor:bottom" alt=" "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">
              <v:textbox style="mso-fit-shape-to-text:t" inset="0,0,0,15pt">
                <w:txbxContent>
                  <w:p w:rsidRPr="006F5258" w:rsidR="006F5258" w:rsidP="006F5258" w:rsidRDefault="006F5258" w14:paraId="55AA9DDA" w14:textId="0D7688B8">
                    <w:pPr>
                      <w:rPr>
                        <w:rFonts w:ascii="Aptos" w:hAnsi="Aptos" w:eastAsia="Aptos" w:cs="Aptos"/>
                        <w:noProof/>
                        <w:color w:val="000000"/>
                        <w:sz w:val="20"/>
                        <w:szCs w:val="20"/>
                      </w:rPr>
                    </w:pPr>
                    <w:r w:rsidRPr="006F5258">
                      <w:rPr>
                        <w:rFonts w:ascii="Aptos" w:hAnsi="Aptos" w:eastAsia="Aptos" w:cs="Aptos"/>
                        <w:noProof/>
                        <w:color w:val="000000"/>
                        <w:sz w:val="20"/>
                        <w:szCs w:val="20"/>
                      </w:rPr>
                      <w:t xml:space="preserve"> </w:t>
                    </w:r>
                  </w:p>
                </w:txbxContent>
              </v:textbox>
              <w10:wrap anchorx="page" anchory="page"/>
            </v:shape>
          </w:pict>
        </mc:Fallback>
      </mc:AlternateContent>
    </w:r>
  </w:p>
  <w:p w14:paraId="2A801977" w14:textId="61ECFA12" w:rsidR="00D02FA5" w:rsidRDefault="00F50BD5" w:rsidP="00612964">
    <w:pPr>
      <w:pStyle w:val="Footer"/>
    </w:pPr>
    <w:r>
      <w:t>Page</w:t>
    </w:r>
    <w:r w:rsidR="00D02FA5" w:rsidRPr="0008243A">
      <w:t xml:space="preserve"> </w:t>
    </w:r>
    <w:r w:rsidR="00D02FA5" w:rsidRPr="0008243A">
      <w:fldChar w:fldCharType="begin"/>
    </w:r>
    <w:r w:rsidR="00D02FA5" w:rsidRPr="0008243A">
      <w:instrText>PAGE   \* MERGEFORMAT</w:instrText>
    </w:r>
    <w:r w:rsidR="00D02FA5" w:rsidRPr="0008243A">
      <w:fldChar w:fldCharType="separate"/>
    </w:r>
    <w:r w:rsidR="00D02FA5">
      <w:t>1</w:t>
    </w:r>
    <w:r w:rsidR="00D02FA5" w:rsidRPr="0008243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E9BF5" w14:textId="4F9C6DE5" w:rsidR="0008243A" w:rsidRPr="0008243A" w:rsidRDefault="006F5258" w:rsidP="00612964">
    <w:pPr>
      <w:pStyle w:val="Footer"/>
    </w:pPr>
    <w:r>
      <w:rPr>
        <w:noProof/>
        <w14:ligatures w14:val="standardContextual"/>
      </w:rPr>
      <mc:AlternateContent>
        <mc:Choice Requires="wps">
          <w:drawing>
            <wp:anchor distT="0" distB="0" distL="0" distR="0" simplePos="0" relativeHeight="251658242" behindDoc="0" locked="0" layoutInCell="1" allowOverlap="1" wp14:anchorId="686E2B1C" wp14:editId="0E119207">
              <wp:simplePos x="635" y="635"/>
              <wp:positionH relativeFrom="page">
                <wp:align>center</wp:align>
              </wp:positionH>
              <wp:positionV relativeFrom="page">
                <wp:align>bottom</wp:align>
              </wp:positionV>
              <wp:extent cx="26035" cy="345440"/>
              <wp:effectExtent l="0" t="0" r="12065" b="0"/>
              <wp:wrapNone/>
              <wp:docPr id="317558576" name="Textfeld 8" descr="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035" cy="345440"/>
                      </a:xfrm>
                      <a:prstGeom prst="rect">
                        <a:avLst/>
                      </a:prstGeom>
                      <a:noFill/>
                      <a:ln>
                        <a:noFill/>
                      </a:ln>
                    </wps:spPr>
                    <wps:txbx>
                      <w:txbxContent>
                        <w:p w14:paraId="66E582F8" w14:textId="0DDE4474" w:rsidR="006F5258" w:rsidRPr="006F5258" w:rsidRDefault="006F5258" w:rsidP="006F5258">
                          <w:pPr>
                            <w:rPr>
                              <w:rFonts w:ascii="Aptos" w:eastAsia="Aptos" w:hAnsi="Aptos" w:cs="Aptos"/>
                              <w:noProof/>
                              <w:color w:val="000000"/>
                              <w:sz w:val="20"/>
                              <w:szCs w:val="20"/>
                            </w:rPr>
                          </w:pPr>
                          <w:r w:rsidRPr="006F5258">
                            <w:rPr>
                              <w:rFonts w:ascii="Aptos" w:eastAsia="Aptos" w:hAnsi="Aptos" w:cs="Aptos"/>
                              <w:noProof/>
                              <w:color w:val="000000"/>
                              <w:sz w:val="20"/>
                              <w:szCs w:val="20"/>
                            </w:rPr>
                            <w:t xml:space="preser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686E2B1C">
              <v:stroke joinstyle="miter"/>
              <v:path gradientshapeok="t" o:connecttype="rect"/>
            </v:shapetype>
            <v:shape id="Textfeld 8" style="position:absolute;margin-left:0;margin-top:0;width:2.05pt;height:27.2pt;z-index:251658242;visibility:visible;mso-wrap-style:none;mso-wrap-distance-left:0;mso-wrap-distance-top:0;mso-wrap-distance-right:0;mso-wrap-distance-bottom:0;mso-position-horizontal:center;mso-position-horizontal-relative:page;mso-position-vertical:bottom;mso-position-vertical-relative:page;v-text-anchor:bottom" alt=" "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">
              <v:textbox style="mso-fit-shape-to-text:t" inset="0,0,0,15pt">
                <w:txbxContent>
                  <w:p w:rsidRPr="006F5258" w:rsidR="006F5258" w:rsidP="006F5258" w:rsidRDefault="006F5258" w14:paraId="66E582F8" w14:textId="0DDE4474">
                    <w:pPr>
                      <w:rPr>
                        <w:rFonts w:ascii="Aptos" w:hAnsi="Aptos" w:eastAsia="Aptos" w:cs="Aptos"/>
                        <w:noProof/>
                        <w:color w:val="000000"/>
                        <w:sz w:val="20"/>
                        <w:szCs w:val="20"/>
                      </w:rPr>
                    </w:pPr>
                    <w:r w:rsidRPr="006F5258">
                      <w:rPr>
                        <w:rFonts w:ascii="Aptos" w:hAnsi="Aptos" w:eastAsia="Aptos" w:cs="Aptos"/>
                        <w:noProof/>
                        <w:color w:val="000000"/>
                        <w:sz w:val="20"/>
                        <w:szCs w:val="20"/>
                      </w:rPr>
                      <w:t xml:space="preserve"> </w:t>
                    </w:r>
                  </w:p>
                </w:txbxContent>
              </v:textbox>
              <w10:wrap anchorx="page" anchory="page"/>
            </v:shape>
          </w:pict>
        </mc:Fallback>
      </mc:AlternateContent>
    </w:r>
  </w:p>
  <w:p w14:paraId="424416FD" w14:textId="238B85C5" w:rsidR="0008243A" w:rsidRPr="0008243A" w:rsidRDefault="041E5C19" w:rsidP="00612964">
    <w:pPr>
      <w:pStyle w:val="Footer"/>
    </w:pPr>
    <w:r>
      <w:t xml:space="preserve">Seite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59931" w14:textId="77777777" w:rsidR="0099710F" w:rsidRDefault="0099710F" w:rsidP="0008243A">
      <w:r>
        <w:separator/>
      </w:r>
    </w:p>
  </w:footnote>
  <w:footnote w:type="continuationSeparator" w:id="0">
    <w:p w14:paraId="2DE9C94F" w14:textId="77777777" w:rsidR="0099710F" w:rsidRDefault="0099710F" w:rsidP="000824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C1385" w14:textId="77777777" w:rsidR="00E81BA1" w:rsidRDefault="00E81BA1">
    <w:pPr>
      <w:pStyle w:val="Header"/>
    </w:pPr>
  </w:p>
  <w:p w14:paraId="378A481C" w14:textId="77777777" w:rsidR="00D90A56" w:rsidRDefault="00D90A5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2948" w14:textId="77777777" w:rsidR="0008243A" w:rsidRPr="00350EAC" w:rsidRDefault="0008243A" w:rsidP="00612964">
    <w:pPr>
      <w:pStyle w:val="Identifier"/>
    </w:pPr>
    <w:r w:rsidRPr="004F5A24">
      <mc:AlternateContent>
        <mc:Choice Requires="wps">
          <w:drawing>
            <wp:anchor distT="0" distB="0" distL="114300" distR="114300" simplePos="0" relativeHeight="251658240" behindDoc="0" locked="1" layoutInCell="1" allowOverlap="1" wp14:anchorId="1BE9A65D" wp14:editId="6D9FEFAF">
              <wp:simplePos x="0" y="0"/>
              <wp:positionH relativeFrom="page">
                <wp:posOffset>6661150</wp:posOffset>
              </wp:positionH>
              <wp:positionV relativeFrom="page">
                <wp:posOffset>360045</wp:posOffset>
              </wp:positionV>
              <wp:extent cx="540000" cy="540000"/>
              <wp:effectExtent l="0" t="0" r="0" b="0"/>
              <wp:wrapNone/>
              <wp:docPr id="3" name="Freeform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540000" cy="540000"/>
                      </a:xfrm>
                      <a:custGeom>
                        <a:avLst/>
                        <a:gdLst>
                          <a:gd name="T0" fmla="*/ 505 w 3609"/>
                          <a:gd name="T1" fmla="*/ 505 h 3609"/>
                          <a:gd name="T2" fmla="*/ 505 w 3609"/>
                          <a:gd name="T3" fmla="*/ 3103 h 3609"/>
                          <a:gd name="T4" fmla="*/ 3101 w 3609"/>
                          <a:gd name="T5" fmla="*/ 3103 h 3609"/>
                          <a:gd name="T6" fmla="*/ 3101 w 3609"/>
                          <a:gd name="T7" fmla="*/ 505 h 3609"/>
                          <a:gd name="T8" fmla="*/ 505 w 3609"/>
                          <a:gd name="T9" fmla="*/ 505 h 3609"/>
                          <a:gd name="T10" fmla="*/ 0 w 3609"/>
                          <a:gd name="T11" fmla="*/ 0 h 3609"/>
                          <a:gd name="T12" fmla="*/ 3609 w 3609"/>
                          <a:gd name="T13" fmla="*/ 0 h 3609"/>
                          <a:gd name="T14" fmla="*/ 3609 w 3609"/>
                          <a:gd name="T15" fmla="*/ 3609 h 3609"/>
                          <a:gd name="T16" fmla="*/ 0 w 3609"/>
                          <a:gd name="T17" fmla="*/ 3609 h 3609"/>
                          <a:gd name="T18" fmla="*/ 0 w 3609"/>
                          <a:gd name="T19" fmla="*/ 0 h 3609"/>
                          <a:gd name="T20" fmla="*/ 795 w 3609"/>
                          <a:gd name="T21" fmla="*/ 2745 h 3609"/>
                          <a:gd name="T22" fmla="*/ 2166 w 3609"/>
                          <a:gd name="T23" fmla="*/ 866 h 3609"/>
                          <a:gd name="T24" fmla="*/ 2814 w 3609"/>
                          <a:gd name="T25" fmla="*/ 866 h 3609"/>
                          <a:gd name="T26" fmla="*/ 1443 w 3609"/>
                          <a:gd name="T27" fmla="*/ 2745 h 3609"/>
                          <a:gd name="T28" fmla="*/ 795 w 3609"/>
                          <a:gd name="T29" fmla="*/ 2745 h 36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609" h="3609">
                            <a:moveTo>
                              <a:pt x="505" y="505"/>
                            </a:moveTo>
                            <a:lnTo>
                              <a:pt x="505" y="3103"/>
                            </a:lnTo>
                            <a:lnTo>
                              <a:pt x="3101" y="3103"/>
                            </a:lnTo>
                            <a:lnTo>
                              <a:pt x="3101" y="505"/>
                            </a:lnTo>
                            <a:lnTo>
                              <a:pt x="505" y="505"/>
                            </a:lnTo>
                            <a:close/>
                            <a:moveTo>
                              <a:pt x="0" y="0"/>
                            </a:moveTo>
                            <a:lnTo>
                              <a:pt x="3609" y="0"/>
                            </a:lnTo>
                            <a:lnTo>
                              <a:pt x="3609" y="3609"/>
                            </a:lnTo>
                            <a:lnTo>
                              <a:pt x="0" y="3609"/>
                            </a:lnTo>
                            <a:lnTo>
                              <a:pt x="0" y="0"/>
                            </a:lnTo>
                            <a:close/>
                            <a:moveTo>
                              <a:pt x="795" y="2745"/>
                            </a:moveTo>
                            <a:lnTo>
                              <a:pt x="2166" y="866"/>
                            </a:lnTo>
                            <a:lnTo>
                              <a:pt x="2814" y="866"/>
                            </a:lnTo>
                            <a:lnTo>
                              <a:pt x="1443" y="2745"/>
                            </a:lnTo>
                            <a:lnTo>
                              <a:pt x="795" y="2745"/>
                            </a:lnTo>
                            <a:close/>
                          </a:path>
                        </a:pathLst>
                      </a:custGeom>
                      <a:solidFill>
                        <a:schemeClr val="accent1"/>
                      </a:solidFill>
                      <a:ln>
                        <a:noFill/>
                      </a:ln>
                    </wps:spPr>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dec="http://schemas.microsoft.com/office/drawing/2017/decorative" xmlns:a="http://schemas.openxmlformats.org/drawingml/2006/main">
          <w:pict w14:anchorId="1FF6425B">
            <v:shape id="Freeform 31" style="position:absolute;margin-left:524.5pt;margin-top:28.35pt;width:42.5pt;height:42.5pt;z-index:25165926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quot;" coordsize="3609,3609" o:spid="_x0000_s1026" fillcolor="#1e2a78 [3204]" stroked="f" path="m505,505r,2598l3101,3103r,-2598l505,505xm,l3609,r,3609l,3609,,xm795,2745l2166,866r648,l1443,2745r-6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" w14:anchorId="14057E37">
              <v:path arrowok="t" o:connecttype="custom" o:connectlocs="75561,75561;75561,464289;463990,464289;463990,75561;75561,75561;0,0;540000,0;540000,540000;0,540000;0,0;118953,410723;324090,129576;421047,129576;215910,410723;118953,410723" o:connectangles="0,0,0,0,0,0,0,0,0,0,0,0,0,0,0"/>
              <o:lock v:ext="edit" verticies="t" aspectratio="t"/>
              <w10:wrap anchorx="page" anchory="page"/>
              <w10:anchorlock/>
            </v:shape>
          </w:pict>
        </mc:Fallback>
      </mc:AlternateContent>
    </w:r>
  </w:p>
  <w:p w14:paraId="605382C6" w14:textId="77777777" w:rsidR="0008243A" w:rsidRDefault="0008243A"/>
  <w:p w14:paraId="7ECCDB0A" w14:textId="77777777" w:rsidR="0008243A" w:rsidRDefault="0008243A"/>
  <w:p w14:paraId="13FC0B2B" w14:textId="77777777" w:rsidR="0008243A" w:rsidRDefault="0008243A"/>
  <w:p w14:paraId="47451FE7" w14:textId="77777777" w:rsidR="00D02FA5" w:rsidRDefault="00D02FA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870A8" w14:textId="77777777" w:rsidR="0008243A" w:rsidRPr="00612964" w:rsidRDefault="0008243A" w:rsidP="00612964">
    <w:pPr>
      <w:pStyle w:val="Wortmarke"/>
    </w:pPr>
    <w:r w:rsidRPr="00612964">
      <w:t>Deutsche Bank</w:t>
    </w:r>
  </w:p>
  <w:p w14:paraId="59A69BAC" w14:textId="77777777" w:rsidR="0008243A" w:rsidRPr="00612964" w:rsidRDefault="0008243A" w:rsidP="00612964">
    <w:pPr>
      <w:pStyle w:val="Identifier"/>
    </w:pPr>
    <w:r w:rsidRPr="00612964">
      <w:fldChar w:fldCharType="begin"/>
    </w:r>
    <w:r w:rsidRPr="00612964">
      <w:instrText xml:space="preserve"> MACROBUTTON  AblehnenAlleÄnderungenAngezeigt [Corporate Division] </w:instrText>
    </w:r>
    <w:r w:rsidRPr="00612964">
      <w:fldChar w:fldCharType="end"/>
    </w:r>
  </w:p>
  <w:p w14:paraId="67AEE9A0" w14:textId="77777777" w:rsidR="0008243A" w:rsidRPr="00350EAC" w:rsidRDefault="0008243A" w:rsidP="00612964">
    <w:pPr>
      <w:pStyle w:val="Identifier"/>
    </w:pPr>
    <w:r w:rsidRPr="004F5A24">
      <mc:AlternateContent>
        <mc:Choice Requires="wps">
          <w:drawing>
            <wp:anchor distT="0" distB="0" distL="114300" distR="114300" simplePos="0" relativeHeight="251658241" behindDoc="0" locked="1" layoutInCell="1" allowOverlap="1" wp14:anchorId="287FC1E5" wp14:editId="21C91DFD">
              <wp:simplePos x="0" y="0"/>
              <wp:positionH relativeFrom="page">
                <wp:posOffset>6661150</wp:posOffset>
              </wp:positionH>
              <wp:positionV relativeFrom="page">
                <wp:posOffset>360045</wp:posOffset>
              </wp:positionV>
              <wp:extent cx="540000" cy="540000"/>
              <wp:effectExtent l="0" t="0" r="0" b="0"/>
              <wp:wrapNone/>
              <wp:docPr id="20605789" name="Freeform 31" descr="Logo Deutsche Bank">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540000" cy="540000"/>
                      </a:xfrm>
                      <a:custGeom>
                        <a:avLst/>
                        <a:gdLst>
                          <a:gd name="T0" fmla="*/ 505 w 3609"/>
                          <a:gd name="T1" fmla="*/ 505 h 3609"/>
                          <a:gd name="T2" fmla="*/ 505 w 3609"/>
                          <a:gd name="T3" fmla="*/ 3103 h 3609"/>
                          <a:gd name="T4" fmla="*/ 3101 w 3609"/>
                          <a:gd name="T5" fmla="*/ 3103 h 3609"/>
                          <a:gd name="T6" fmla="*/ 3101 w 3609"/>
                          <a:gd name="T7" fmla="*/ 505 h 3609"/>
                          <a:gd name="T8" fmla="*/ 505 w 3609"/>
                          <a:gd name="T9" fmla="*/ 505 h 3609"/>
                          <a:gd name="T10" fmla="*/ 0 w 3609"/>
                          <a:gd name="T11" fmla="*/ 0 h 3609"/>
                          <a:gd name="T12" fmla="*/ 3609 w 3609"/>
                          <a:gd name="T13" fmla="*/ 0 h 3609"/>
                          <a:gd name="T14" fmla="*/ 3609 w 3609"/>
                          <a:gd name="T15" fmla="*/ 3609 h 3609"/>
                          <a:gd name="T16" fmla="*/ 0 w 3609"/>
                          <a:gd name="T17" fmla="*/ 3609 h 3609"/>
                          <a:gd name="T18" fmla="*/ 0 w 3609"/>
                          <a:gd name="T19" fmla="*/ 0 h 3609"/>
                          <a:gd name="T20" fmla="*/ 795 w 3609"/>
                          <a:gd name="T21" fmla="*/ 2745 h 3609"/>
                          <a:gd name="T22" fmla="*/ 2166 w 3609"/>
                          <a:gd name="T23" fmla="*/ 866 h 3609"/>
                          <a:gd name="T24" fmla="*/ 2814 w 3609"/>
                          <a:gd name="T25" fmla="*/ 866 h 3609"/>
                          <a:gd name="T26" fmla="*/ 1443 w 3609"/>
                          <a:gd name="T27" fmla="*/ 2745 h 3609"/>
                          <a:gd name="T28" fmla="*/ 795 w 3609"/>
                          <a:gd name="T29" fmla="*/ 2745 h 36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609" h="3609">
                            <a:moveTo>
                              <a:pt x="505" y="505"/>
                            </a:moveTo>
                            <a:lnTo>
                              <a:pt x="505" y="3103"/>
                            </a:lnTo>
                            <a:lnTo>
                              <a:pt x="3101" y="3103"/>
                            </a:lnTo>
                            <a:lnTo>
                              <a:pt x="3101" y="505"/>
                            </a:lnTo>
                            <a:lnTo>
                              <a:pt x="505" y="505"/>
                            </a:lnTo>
                            <a:close/>
                            <a:moveTo>
                              <a:pt x="0" y="0"/>
                            </a:moveTo>
                            <a:lnTo>
                              <a:pt x="3609" y="0"/>
                            </a:lnTo>
                            <a:lnTo>
                              <a:pt x="3609" y="3609"/>
                            </a:lnTo>
                            <a:lnTo>
                              <a:pt x="0" y="3609"/>
                            </a:lnTo>
                            <a:lnTo>
                              <a:pt x="0" y="0"/>
                            </a:lnTo>
                            <a:close/>
                            <a:moveTo>
                              <a:pt x="795" y="2745"/>
                            </a:moveTo>
                            <a:lnTo>
                              <a:pt x="2166" y="866"/>
                            </a:lnTo>
                            <a:lnTo>
                              <a:pt x="2814" y="866"/>
                            </a:lnTo>
                            <a:lnTo>
                              <a:pt x="1443" y="2745"/>
                            </a:lnTo>
                            <a:lnTo>
                              <a:pt x="795" y="2745"/>
                            </a:lnTo>
                            <a:close/>
                          </a:path>
                        </a:pathLst>
                      </a:custGeom>
                      <a:solidFill>
                        <a:schemeClr val="accent1"/>
                      </a:solidFill>
                      <a:ln>
                        <a:noFill/>
                      </a:ln>
                    </wps:spPr>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dec="http://schemas.microsoft.com/office/drawing/2017/decorative" xmlns:a="http://schemas.openxmlformats.org/drawingml/2006/main">
          <w:pict w14:anchorId="5FCA6307">
            <v:shape id="Freeform 31" style="position:absolute;margin-left:524.5pt;margin-top:28.35pt;width:42.5pt;height:42.5pt;z-index:25166131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Logo Deutsche Bank" coordsize="3609,3609" o:spid="_x0000_s1026" fillcolor="#1e2a78 [3204]" stroked="f" path="m505,505r,2598l3101,3103r,-2598l505,505xm,l3609,r,3609l,3609,,xm795,2745l2166,866r648,l1443,2745r-6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" w14:anchorId="7F0E2DA9">
              <v:path arrowok="t" o:connecttype="custom" o:connectlocs="75561,75561;75561,464289;463990,464289;463990,75561;75561,75561;0,0;540000,0;540000,540000;0,540000;0,0;118953,410723;324090,129576;421047,129576;215910,410723;118953,410723" o:connectangles="0,0,0,0,0,0,0,0,0,0,0,0,0,0,0"/>
              <o:lock v:ext="edit" verticies="t" aspectratio="t"/>
              <w10:wrap anchorx="page" anchory="page"/>
              <w10:anchorlock/>
            </v:shape>
          </w:pict>
        </mc:Fallback>
      </mc:AlternateContent>
    </w:r>
  </w:p>
  <w:p w14:paraId="3C459EA7" w14:textId="77777777" w:rsidR="0008243A" w:rsidRDefault="0008243A"/>
  <w:p w14:paraId="55E44C5A" w14:textId="77777777" w:rsidR="0008243A" w:rsidRDefault="0008243A"/>
  <w:p w14:paraId="3251F0D0" w14:textId="77777777" w:rsidR="0008243A" w:rsidRDefault="0008243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B4CA3"/>
    <w:multiLevelType w:val="hybridMultilevel"/>
    <w:tmpl w:val="78EA086C"/>
    <w:lvl w:ilvl="0" w:tplc="5E2C3ABA">
      <w:start w:val="1"/>
      <w:numFmt w:val="bullet"/>
      <w:lvlText w:val="–"/>
      <w:lvlJc w:val="left"/>
      <w:pPr>
        <w:tabs>
          <w:tab w:val="num" w:pos="720"/>
        </w:tabs>
        <w:ind w:left="720" w:hanging="360"/>
      </w:pPr>
      <w:rPr>
        <w:rFonts w:ascii="DeutscheBank" w:hAnsi="DeutscheBank" w:hint="default"/>
      </w:rPr>
    </w:lvl>
    <w:lvl w:ilvl="1" w:tplc="6B16B90E" w:tentative="1">
      <w:start w:val="1"/>
      <w:numFmt w:val="bullet"/>
      <w:lvlText w:val="–"/>
      <w:lvlJc w:val="left"/>
      <w:pPr>
        <w:tabs>
          <w:tab w:val="num" w:pos="1440"/>
        </w:tabs>
        <w:ind w:left="1440" w:hanging="360"/>
      </w:pPr>
      <w:rPr>
        <w:rFonts w:ascii="DeutscheBank" w:hAnsi="DeutscheBank" w:hint="default"/>
      </w:rPr>
    </w:lvl>
    <w:lvl w:ilvl="2" w:tplc="DC10CD52" w:tentative="1">
      <w:start w:val="1"/>
      <w:numFmt w:val="bullet"/>
      <w:lvlText w:val="–"/>
      <w:lvlJc w:val="left"/>
      <w:pPr>
        <w:tabs>
          <w:tab w:val="num" w:pos="2160"/>
        </w:tabs>
        <w:ind w:left="2160" w:hanging="360"/>
      </w:pPr>
      <w:rPr>
        <w:rFonts w:ascii="DeutscheBank" w:hAnsi="DeutscheBank" w:hint="default"/>
      </w:rPr>
    </w:lvl>
    <w:lvl w:ilvl="3" w:tplc="405420DA" w:tentative="1">
      <w:start w:val="1"/>
      <w:numFmt w:val="bullet"/>
      <w:lvlText w:val="–"/>
      <w:lvlJc w:val="left"/>
      <w:pPr>
        <w:tabs>
          <w:tab w:val="num" w:pos="2880"/>
        </w:tabs>
        <w:ind w:left="2880" w:hanging="360"/>
      </w:pPr>
      <w:rPr>
        <w:rFonts w:ascii="DeutscheBank" w:hAnsi="DeutscheBank" w:hint="default"/>
      </w:rPr>
    </w:lvl>
    <w:lvl w:ilvl="4" w:tplc="8D4C2A2A" w:tentative="1">
      <w:start w:val="1"/>
      <w:numFmt w:val="bullet"/>
      <w:lvlText w:val="–"/>
      <w:lvlJc w:val="left"/>
      <w:pPr>
        <w:tabs>
          <w:tab w:val="num" w:pos="3600"/>
        </w:tabs>
        <w:ind w:left="3600" w:hanging="360"/>
      </w:pPr>
      <w:rPr>
        <w:rFonts w:ascii="DeutscheBank" w:hAnsi="DeutscheBank" w:hint="default"/>
      </w:rPr>
    </w:lvl>
    <w:lvl w:ilvl="5" w:tplc="FE2C7D6E" w:tentative="1">
      <w:start w:val="1"/>
      <w:numFmt w:val="bullet"/>
      <w:lvlText w:val="–"/>
      <w:lvlJc w:val="left"/>
      <w:pPr>
        <w:tabs>
          <w:tab w:val="num" w:pos="4320"/>
        </w:tabs>
        <w:ind w:left="4320" w:hanging="360"/>
      </w:pPr>
      <w:rPr>
        <w:rFonts w:ascii="DeutscheBank" w:hAnsi="DeutscheBank" w:hint="default"/>
      </w:rPr>
    </w:lvl>
    <w:lvl w:ilvl="6" w:tplc="63F66C7C" w:tentative="1">
      <w:start w:val="1"/>
      <w:numFmt w:val="bullet"/>
      <w:lvlText w:val="–"/>
      <w:lvlJc w:val="left"/>
      <w:pPr>
        <w:tabs>
          <w:tab w:val="num" w:pos="5040"/>
        </w:tabs>
        <w:ind w:left="5040" w:hanging="360"/>
      </w:pPr>
      <w:rPr>
        <w:rFonts w:ascii="DeutscheBank" w:hAnsi="DeutscheBank" w:hint="default"/>
      </w:rPr>
    </w:lvl>
    <w:lvl w:ilvl="7" w:tplc="38AEB746" w:tentative="1">
      <w:start w:val="1"/>
      <w:numFmt w:val="bullet"/>
      <w:lvlText w:val="–"/>
      <w:lvlJc w:val="left"/>
      <w:pPr>
        <w:tabs>
          <w:tab w:val="num" w:pos="5760"/>
        </w:tabs>
        <w:ind w:left="5760" w:hanging="360"/>
      </w:pPr>
      <w:rPr>
        <w:rFonts w:ascii="DeutscheBank" w:hAnsi="DeutscheBank" w:hint="default"/>
      </w:rPr>
    </w:lvl>
    <w:lvl w:ilvl="8" w:tplc="A6161EC4" w:tentative="1">
      <w:start w:val="1"/>
      <w:numFmt w:val="bullet"/>
      <w:lvlText w:val="–"/>
      <w:lvlJc w:val="left"/>
      <w:pPr>
        <w:tabs>
          <w:tab w:val="num" w:pos="6480"/>
        </w:tabs>
        <w:ind w:left="6480" w:hanging="360"/>
      </w:pPr>
      <w:rPr>
        <w:rFonts w:ascii="DeutscheBank" w:hAnsi="DeutscheBank" w:hint="default"/>
      </w:rPr>
    </w:lvl>
  </w:abstractNum>
  <w:abstractNum w:abstractNumId="1" w15:restartNumberingAfterBreak="0">
    <w:nsid w:val="0E516ED1"/>
    <w:multiLevelType w:val="hybridMultilevel"/>
    <w:tmpl w:val="51CC6868"/>
    <w:lvl w:ilvl="0" w:tplc="CBCE2CBC">
      <w:start w:val="1"/>
      <w:numFmt w:val="decimal"/>
      <w:lvlText w:val="%1."/>
      <w:lvlJc w:val="left"/>
      <w:pPr>
        <w:ind w:left="360" w:hanging="360"/>
      </w:pPr>
      <w:rPr>
        <w:rFonts w:hint="default"/>
        <w:b/>
        <w:bCs/>
        <w:color w:val="1E2A78" w:themeColor="accent1"/>
        <w:u w:color="1E2A78" w:themeColor="accent1"/>
      </w:rPr>
    </w:lvl>
    <w:lvl w:ilvl="1" w:tplc="04070019" w:tentative="1">
      <w:start w:val="1"/>
      <w:numFmt w:val="lowerLetter"/>
      <w:lvlText w:val="%2."/>
      <w:lvlJc w:val="left"/>
      <w:pPr>
        <w:ind w:left="1340" w:hanging="360"/>
      </w:pPr>
    </w:lvl>
    <w:lvl w:ilvl="2" w:tplc="0407001B" w:tentative="1">
      <w:start w:val="1"/>
      <w:numFmt w:val="lowerRoman"/>
      <w:lvlText w:val="%3."/>
      <w:lvlJc w:val="right"/>
      <w:pPr>
        <w:ind w:left="2060" w:hanging="180"/>
      </w:pPr>
    </w:lvl>
    <w:lvl w:ilvl="3" w:tplc="0407000F" w:tentative="1">
      <w:start w:val="1"/>
      <w:numFmt w:val="decimal"/>
      <w:lvlText w:val="%4."/>
      <w:lvlJc w:val="left"/>
      <w:pPr>
        <w:ind w:left="2780" w:hanging="360"/>
      </w:pPr>
    </w:lvl>
    <w:lvl w:ilvl="4" w:tplc="04070019" w:tentative="1">
      <w:start w:val="1"/>
      <w:numFmt w:val="lowerLetter"/>
      <w:lvlText w:val="%5."/>
      <w:lvlJc w:val="left"/>
      <w:pPr>
        <w:ind w:left="3500" w:hanging="360"/>
      </w:pPr>
    </w:lvl>
    <w:lvl w:ilvl="5" w:tplc="0407001B" w:tentative="1">
      <w:start w:val="1"/>
      <w:numFmt w:val="lowerRoman"/>
      <w:lvlText w:val="%6."/>
      <w:lvlJc w:val="right"/>
      <w:pPr>
        <w:ind w:left="4220" w:hanging="180"/>
      </w:pPr>
    </w:lvl>
    <w:lvl w:ilvl="6" w:tplc="0407000F" w:tentative="1">
      <w:start w:val="1"/>
      <w:numFmt w:val="decimal"/>
      <w:lvlText w:val="%7."/>
      <w:lvlJc w:val="left"/>
      <w:pPr>
        <w:ind w:left="4940" w:hanging="360"/>
      </w:pPr>
    </w:lvl>
    <w:lvl w:ilvl="7" w:tplc="04070019" w:tentative="1">
      <w:start w:val="1"/>
      <w:numFmt w:val="lowerLetter"/>
      <w:lvlText w:val="%8."/>
      <w:lvlJc w:val="left"/>
      <w:pPr>
        <w:ind w:left="5660" w:hanging="360"/>
      </w:pPr>
    </w:lvl>
    <w:lvl w:ilvl="8" w:tplc="0407001B" w:tentative="1">
      <w:start w:val="1"/>
      <w:numFmt w:val="lowerRoman"/>
      <w:lvlText w:val="%9."/>
      <w:lvlJc w:val="right"/>
      <w:pPr>
        <w:ind w:left="6380" w:hanging="180"/>
      </w:pPr>
    </w:lvl>
  </w:abstractNum>
  <w:abstractNum w:abstractNumId="2" w15:restartNumberingAfterBreak="0">
    <w:nsid w:val="0F3B7898"/>
    <w:multiLevelType w:val="hybridMultilevel"/>
    <w:tmpl w:val="7BF62BC0"/>
    <w:lvl w:ilvl="0" w:tplc="7EE44E14">
      <w:start w:val="25"/>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1E51265"/>
    <w:multiLevelType w:val="hybridMultilevel"/>
    <w:tmpl w:val="3F8EA7E2"/>
    <w:lvl w:ilvl="0" w:tplc="2D4650EA">
      <w:start w:val="1"/>
      <w:numFmt w:val="bullet"/>
      <w:lvlText w:val="–"/>
      <w:lvlJc w:val="left"/>
      <w:pPr>
        <w:tabs>
          <w:tab w:val="num" w:pos="720"/>
        </w:tabs>
        <w:ind w:left="720" w:hanging="360"/>
      </w:pPr>
      <w:rPr>
        <w:rFonts w:ascii="DeutscheBank" w:hAnsi="DeutscheBank" w:hint="default"/>
      </w:rPr>
    </w:lvl>
    <w:lvl w:ilvl="1" w:tplc="F33CD95A" w:tentative="1">
      <w:start w:val="1"/>
      <w:numFmt w:val="bullet"/>
      <w:lvlText w:val="–"/>
      <w:lvlJc w:val="left"/>
      <w:pPr>
        <w:tabs>
          <w:tab w:val="num" w:pos="1440"/>
        </w:tabs>
        <w:ind w:left="1440" w:hanging="360"/>
      </w:pPr>
      <w:rPr>
        <w:rFonts w:ascii="DeutscheBank" w:hAnsi="DeutscheBank" w:hint="default"/>
      </w:rPr>
    </w:lvl>
    <w:lvl w:ilvl="2" w:tplc="D05CCEA2" w:tentative="1">
      <w:start w:val="1"/>
      <w:numFmt w:val="bullet"/>
      <w:lvlText w:val="–"/>
      <w:lvlJc w:val="left"/>
      <w:pPr>
        <w:tabs>
          <w:tab w:val="num" w:pos="2160"/>
        </w:tabs>
        <w:ind w:left="2160" w:hanging="360"/>
      </w:pPr>
      <w:rPr>
        <w:rFonts w:ascii="DeutscheBank" w:hAnsi="DeutscheBank" w:hint="default"/>
      </w:rPr>
    </w:lvl>
    <w:lvl w:ilvl="3" w:tplc="AB16173E" w:tentative="1">
      <w:start w:val="1"/>
      <w:numFmt w:val="bullet"/>
      <w:lvlText w:val="–"/>
      <w:lvlJc w:val="left"/>
      <w:pPr>
        <w:tabs>
          <w:tab w:val="num" w:pos="2880"/>
        </w:tabs>
        <w:ind w:left="2880" w:hanging="360"/>
      </w:pPr>
      <w:rPr>
        <w:rFonts w:ascii="DeutscheBank" w:hAnsi="DeutscheBank" w:hint="default"/>
      </w:rPr>
    </w:lvl>
    <w:lvl w:ilvl="4" w:tplc="E55A507C" w:tentative="1">
      <w:start w:val="1"/>
      <w:numFmt w:val="bullet"/>
      <w:lvlText w:val="–"/>
      <w:lvlJc w:val="left"/>
      <w:pPr>
        <w:tabs>
          <w:tab w:val="num" w:pos="3600"/>
        </w:tabs>
        <w:ind w:left="3600" w:hanging="360"/>
      </w:pPr>
      <w:rPr>
        <w:rFonts w:ascii="DeutscheBank" w:hAnsi="DeutscheBank" w:hint="default"/>
      </w:rPr>
    </w:lvl>
    <w:lvl w:ilvl="5" w:tplc="359280F8" w:tentative="1">
      <w:start w:val="1"/>
      <w:numFmt w:val="bullet"/>
      <w:lvlText w:val="–"/>
      <w:lvlJc w:val="left"/>
      <w:pPr>
        <w:tabs>
          <w:tab w:val="num" w:pos="4320"/>
        </w:tabs>
        <w:ind w:left="4320" w:hanging="360"/>
      </w:pPr>
      <w:rPr>
        <w:rFonts w:ascii="DeutscheBank" w:hAnsi="DeutscheBank" w:hint="default"/>
      </w:rPr>
    </w:lvl>
    <w:lvl w:ilvl="6" w:tplc="087022B4" w:tentative="1">
      <w:start w:val="1"/>
      <w:numFmt w:val="bullet"/>
      <w:lvlText w:val="–"/>
      <w:lvlJc w:val="left"/>
      <w:pPr>
        <w:tabs>
          <w:tab w:val="num" w:pos="5040"/>
        </w:tabs>
        <w:ind w:left="5040" w:hanging="360"/>
      </w:pPr>
      <w:rPr>
        <w:rFonts w:ascii="DeutscheBank" w:hAnsi="DeutscheBank" w:hint="default"/>
      </w:rPr>
    </w:lvl>
    <w:lvl w:ilvl="7" w:tplc="CF8A776E" w:tentative="1">
      <w:start w:val="1"/>
      <w:numFmt w:val="bullet"/>
      <w:lvlText w:val="–"/>
      <w:lvlJc w:val="left"/>
      <w:pPr>
        <w:tabs>
          <w:tab w:val="num" w:pos="5760"/>
        </w:tabs>
        <w:ind w:left="5760" w:hanging="360"/>
      </w:pPr>
      <w:rPr>
        <w:rFonts w:ascii="DeutscheBank" w:hAnsi="DeutscheBank" w:hint="default"/>
      </w:rPr>
    </w:lvl>
    <w:lvl w:ilvl="8" w:tplc="4730818E" w:tentative="1">
      <w:start w:val="1"/>
      <w:numFmt w:val="bullet"/>
      <w:lvlText w:val="–"/>
      <w:lvlJc w:val="left"/>
      <w:pPr>
        <w:tabs>
          <w:tab w:val="num" w:pos="6480"/>
        </w:tabs>
        <w:ind w:left="6480" w:hanging="360"/>
      </w:pPr>
      <w:rPr>
        <w:rFonts w:ascii="DeutscheBank" w:hAnsi="DeutscheBank" w:hint="default"/>
      </w:rPr>
    </w:lvl>
  </w:abstractNum>
  <w:abstractNum w:abstractNumId="4" w15:restartNumberingAfterBreak="0">
    <w:nsid w:val="37597E7A"/>
    <w:multiLevelType w:val="hybridMultilevel"/>
    <w:tmpl w:val="CC1603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79626E5"/>
    <w:multiLevelType w:val="hybridMultilevel"/>
    <w:tmpl w:val="A10A998E"/>
    <w:lvl w:ilvl="0" w:tplc="5B74E2D0">
      <w:start w:val="1"/>
      <w:numFmt w:val="bullet"/>
      <w:lvlText w:val="●"/>
      <w:lvlJc w:val="left"/>
      <w:pPr>
        <w:ind w:left="720" w:hanging="360"/>
      </w:pPr>
    </w:lvl>
    <w:lvl w:ilvl="1" w:tplc="D03AE05C">
      <w:start w:val="1"/>
      <w:numFmt w:val="bullet"/>
      <w:lvlText w:val="○"/>
      <w:lvlJc w:val="left"/>
      <w:pPr>
        <w:ind w:left="1440" w:hanging="360"/>
      </w:pPr>
    </w:lvl>
    <w:lvl w:ilvl="2" w:tplc="D83C0002">
      <w:start w:val="1"/>
      <w:numFmt w:val="bullet"/>
      <w:lvlText w:val="■"/>
      <w:lvlJc w:val="left"/>
      <w:pPr>
        <w:ind w:left="2160" w:hanging="360"/>
      </w:pPr>
    </w:lvl>
    <w:lvl w:ilvl="3" w:tplc="CEFAE94C">
      <w:start w:val="1"/>
      <w:numFmt w:val="bullet"/>
      <w:lvlText w:val="●"/>
      <w:lvlJc w:val="left"/>
      <w:pPr>
        <w:ind w:left="2880" w:hanging="360"/>
      </w:pPr>
    </w:lvl>
    <w:lvl w:ilvl="4" w:tplc="8DFED124">
      <w:start w:val="1"/>
      <w:numFmt w:val="bullet"/>
      <w:lvlText w:val="○"/>
      <w:lvlJc w:val="left"/>
      <w:pPr>
        <w:ind w:left="3600" w:hanging="360"/>
      </w:pPr>
    </w:lvl>
    <w:lvl w:ilvl="5" w:tplc="D4C888E0">
      <w:start w:val="1"/>
      <w:numFmt w:val="bullet"/>
      <w:lvlText w:val="■"/>
      <w:lvlJc w:val="left"/>
      <w:pPr>
        <w:ind w:left="4320" w:hanging="360"/>
      </w:pPr>
    </w:lvl>
    <w:lvl w:ilvl="6" w:tplc="9C248266">
      <w:start w:val="1"/>
      <w:numFmt w:val="bullet"/>
      <w:lvlText w:val="●"/>
      <w:lvlJc w:val="left"/>
      <w:pPr>
        <w:ind w:left="5040" w:hanging="360"/>
      </w:pPr>
    </w:lvl>
    <w:lvl w:ilvl="7" w:tplc="1BE0B124">
      <w:start w:val="1"/>
      <w:numFmt w:val="bullet"/>
      <w:lvlText w:val="●"/>
      <w:lvlJc w:val="left"/>
      <w:pPr>
        <w:ind w:left="5760" w:hanging="360"/>
      </w:pPr>
    </w:lvl>
    <w:lvl w:ilvl="8" w:tplc="31EA57C8">
      <w:start w:val="1"/>
      <w:numFmt w:val="bullet"/>
      <w:lvlText w:val="●"/>
      <w:lvlJc w:val="left"/>
      <w:pPr>
        <w:ind w:left="6480" w:hanging="360"/>
      </w:pPr>
    </w:lvl>
  </w:abstractNum>
  <w:abstractNum w:abstractNumId="6" w15:restartNumberingAfterBreak="0">
    <w:nsid w:val="4F1F20F1"/>
    <w:multiLevelType w:val="hybridMultilevel"/>
    <w:tmpl w:val="EDC8B310"/>
    <w:lvl w:ilvl="0" w:tplc="4DCAB62E">
      <w:start w:val="1"/>
      <w:numFmt w:val="bullet"/>
      <w:lvlText w:val="–"/>
      <w:lvlJc w:val="left"/>
      <w:pPr>
        <w:ind w:left="720" w:hanging="360"/>
      </w:pPr>
      <w:rPr>
        <w:rFonts w:hint="default"/>
        <w:color w:val="00000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F664128"/>
    <w:multiLevelType w:val="hybridMultilevel"/>
    <w:tmpl w:val="F3769A34"/>
    <w:lvl w:ilvl="0" w:tplc="461C1B8E">
      <w:start w:val="1"/>
      <w:numFmt w:val="bullet"/>
      <w:pStyle w:val="Auflistung1"/>
      <w:lvlText w:val="–"/>
      <w:lvlJc w:val="left"/>
      <w:pPr>
        <w:ind w:left="360" w:hanging="360"/>
      </w:pPr>
      <w:rPr>
        <w:rFonts w:ascii="DeutscheBank" w:hAnsi="DeutscheBank"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CBD5B1D"/>
    <w:multiLevelType w:val="multilevel"/>
    <w:tmpl w:val="CDC6B1F0"/>
    <w:lvl w:ilvl="0">
      <w:start w:val="1"/>
      <w:numFmt w:val="decimal"/>
      <w:lvlText w:val="%1."/>
      <w:lvlJc w:val="left"/>
      <w:pPr>
        <w:ind w:left="357" w:hanging="35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bullet"/>
      <w:lvlText w:val="→"/>
      <w:lvlJc w:val="left"/>
      <w:pPr>
        <w:ind w:left="567" w:hanging="210"/>
      </w:pPr>
      <w:rPr>
        <w:rFonts w:ascii="DeutscheBank" w:hAnsi="DeutscheBank" w:hint="default"/>
        <w:color w:val="auto"/>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74DD0FD0"/>
    <w:multiLevelType w:val="multilevel"/>
    <w:tmpl w:val="0407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262183325">
    <w:abstractNumId w:val="7"/>
  </w:num>
  <w:num w:numId="2" w16cid:durableId="1637174457">
    <w:abstractNumId w:val="0"/>
  </w:num>
  <w:num w:numId="3" w16cid:durableId="1728146620">
    <w:abstractNumId w:val="3"/>
  </w:num>
  <w:num w:numId="4" w16cid:durableId="524175088">
    <w:abstractNumId w:val="4"/>
  </w:num>
  <w:num w:numId="5" w16cid:durableId="1671248415">
    <w:abstractNumId w:val="9"/>
  </w:num>
  <w:num w:numId="6" w16cid:durableId="1860700014">
    <w:abstractNumId w:val="5"/>
    <w:lvlOverride w:ilvl="0">
      <w:startOverride w:val="1"/>
    </w:lvlOverride>
  </w:num>
  <w:num w:numId="7" w16cid:durableId="1120800531">
    <w:abstractNumId w:val="2"/>
  </w:num>
  <w:num w:numId="8" w16cid:durableId="1522890141">
    <w:abstractNumId w:val="6"/>
  </w:num>
  <w:num w:numId="9" w16cid:durableId="1135487762">
    <w:abstractNumId w:val="1"/>
  </w:num>
  <w:num w:numId="10" w16cid:durableId="20573091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51D"/>
    <w:rsid w:val="00002268"/>
    <w:rsid w:val="00002701"/>
    <w:rsid w:val="00003F48"/>
    <w:rsid w:val="00004DEE"/>
    <w:rsid w:val="00005222"/>
    <w:rsid w:val="00006047"/>
    <w:rsid w:val="000076D6"/>
    <w:rsid w:val="00007802"/>
    <w:rsid w:val="00007B04"/>
    <w:rsid w:val="00007F33"/>
    <w:rsid w:val="00007F8E"/>
    <w:rsid w:val="00010128"/>
    <w:rsid w:val="00012376"/>
    <w:rsid w:val="00013663"/>
    <w:rsid w:val="00013A2C"/>
    <w:rsid w:val="00013BCB"/>
    <w:rsid w:val="00013E43"/>
    <w:rsid w:val="00014212"/>
    <w:rsid w:val="00015E50"/>
    <w:rsid w:val="00020224"/>
    <w:rsid w:val="00020574"/>
    <w:rsid w:val="00021A38"/>
    <w:rsid w:val="00022865"/>
    <w:rsid w:val="000250CE"/>
    <w:rsid w:val="00025EB9"/>
    <w:rsid w:val="00025EBC"/>
    <w:rsid w:val="000264E6"/>
    <w:rsid w:val="000266C0"/>
    <w:rsid w:val="00026F54"/>
    <w:rsid w:val="000306E6"/>
    <w:rsid w:val="000311AF"/>
    <w:rsid w:val="00036DD2"/>
    <w:rsid w:val="00037748"/>
    <w:rsid w:val="00037A0C"/>
    <w:rsid w:val="00040E71"/>
    <w:rsid w:val="00041869"/>
    <w:rsid w:val="000448C8"/>
    <w:rsid w:val="000466A7"/>
    <w:rsid w:val="000474E6"/>
    <w:rsid w:val="00047AF9"/>
    <w:rsid w:val="000512D9"/>
    <w:rsid w:val="000520A0"/>
    <w:rsid w:val="00052A38"/>
    <w:rsid w:val="0005432F"/>
    <w:rsid w:val="0005457F"/>
    <w:rsid w:val="000552C1"/>
    <w:rsid w:val="00055C24"/>
    <w:rsid w:val="0005771B"/>
    <w:rsid w:val="00057A75"/>
    <w:rsid w:val="00057A7D"/>
    <w:rsid w:val="00057B3A"/>
    <w:rsid w:val="00060A4F"/>
    <w:rsid w:val="0006205A"/>
    <w:rsid w:val="000638E6"/>
    <w:rsid w:val="000639EE"/>
    <w:rsid w:val="00063C67"/>
    <w:rsid w:val="00065B33"/>
    <w:rsid w:val="00066D87"/>
    <w:rsid w:val="00067036"/>
    <w:rsid w:val="000676A3"/>
    <w:rsid w:val="000676ED"/>
    <w:rsid w:val="00070A38"/>
    <w:rsid w:val="000710E4"/>
    <w:rsid w:val="00071496"/>
    <w:rsid w:val="0007194A"/>
    <w:rsid w:val="00077C81"/>
    <w:rsid w:val="00080C7F"/>
    <w:rsid w:val="0008243A"/>
    <w:rsid w:val="0008272E"/>
    <w:rsid w:val="00085133"/>
    <w:rsid w:val="00086026"/>
    <w:rsid w:val="0008751D"/>
    <w:rsid w:val="00091253"/>
    <w:rsid w:val="00091A75"/>
    <w:rsid w:val="00092022"/>
    <w:rsid w:val="00092073"/>
    <w:rsid w:val="00092369"/>
    <w:rsid w:val="00092A5A"/>
    <w:rsid w:val="00093570"/>
    <w:rsid w:val="00093690"/>
    <w:rsid w:val="0009388B"/>
    <w:rsid w:val="00094C6B"/>
    <w:rsid w:val="00096F65"/>
    <w:rsid w:val="00097095"/>
    <w:rsid w:val="0009788D"/>
    <w:rsid w:val="000A088E"/>
    <w:rsid w:val="000A0F9A"/>
    <w:rsid w:val="000A1C56"/>
    <w:rsid w:val="000A1FDF"/>
    <w:rsid w:val="000A3C25"/>
    <w:rsid w:val="000A4ACE"/>
    <w:rsid w:val="000A6B27"/>
    <w:rsid w:val="000A7907"/>
    <w:rsid w:val="000A7B79"/>
    <w:rsid w:val="000A7F0A"/>
    <w:rsid w:val="000B03CD"/>
    <w:rsid w:val="000B085E"/>
    <w:rsid w:val="000B1E9F"/>
    <w:rsid w:val="000B30F6"/>
    <w:rsid w:val="000B3238"/>
    <w:rsid w:val="000B3AF0"/>
    <w:rsid w:val="000B55C9"/>
    <w:rsid w:val="000B6003"/>
    <w:rsid w:val="000B7003"/>
    <w:rsid w:val="000B7B9E"/>
    <w:rsid w:val="000C2B8A"/>
    <w:rsid w:val="000C5939"/>
    <w:rsid w:val="000C6B8A"/>
    <w:rsid w:val="000D035A"/>
    <w:rsid w:val="000D09B6"/>
    <w:rsid w:val="000D0D37"/>
    <w:rsid w:val="000D2E3D"/>
    <w:rsid w:val="000D3404"/>
    <w:rsid w:val="000D3CB8"/>
    <w:rsid w:val="000D435F"/>
    <w:rsid w:val="000D4813"/>
    <w:rsid w:val="000D511C"/>
    <w:rsid w:val="000D5134"/>
    <w:rsid w:val="000D5354"/>
    <w:rsid w:val="000D6841"/>
    <w:rsid w:val="000E1293"/>
    <w:rsid w:val="000E1E84"/>
    <w:rsid w:val="000E26AB"/>
    <w:rsid w:val="000E3463"/>
    <w:rsid w:val="000E5116"/>
    <w:rsid w:val="000E5E41"/>
    <w:rsid w:val="000E663F"/>
    <w:rsid w:val="000E6810"/>
    <w:rsid w:val="000E7698"/>
    <w:rsid w:val="000E7B84"/>
    <w:rsid w:val="000F01B9"/>
    <w:rsid w:val="000F2ECC"/>
    <w:rsid w:val="000F5BFA"/>
    <w:rsid w:val="000F7813"/>
    <w:rsid w:val="00101B12"/>
    <w:rsid w:val="00101D33"/>
    <w:rsid w:val="00101F83"/>
    <w:rsid w:val="00102738"/>
    <w:rsid w:val="00103464"/>
    <w:rsid w:val="001037C1"/>
    <w:rsid w:val="00104010"/>
    <w:rsid w:val="001042BE"/>
    <w:rsid w:val="00104FAF"/>
    <w:rsid w:val="00110D9E"/>
    <w:rsid w:val="0011195D"/>
    <w:rsid w:val="0011242C"/>
    <w:rsid w:val="001126AC"/>
    <w:rsid w:val="00112FFE"/>
    <w:rsid w:val="0011412F"/>
    <w:rsid w:val="001148ED"/>
    <w:rsid w:val="00116361"/>
    <w:rsid w:val="001168A7"/>
    <w:rsid w:val="00117078"/>
    <w:rsid w:val="0012012A"/>
    <w:rsid w:val="001209F7"/>
    <w:rsid w:val="00120A88"/>
    <w:rsid w:val="00120C57"/>
    <w:rsid w:val="00122F6F"/>
    <w:rsid w:val="00122F9A"/>
    <w:rsid w:val="001240E2"/>
    <w:rsid w:val="001243DA"/>
    <w:rsid w:val="00124F6A"/>
    <w:rsid w:val="00125746"/>
    <w:rsid w:val="00126822"/>
    <w:rsid w:val="0012766D"/>
    <w:rsid w:val="001279A8"/>
    <w:rsid w:val="00130B87"/>
    <w:rsid w:val="001311F3"/>
    <w:rsid w:val="00132E7D"/>
    <w:rsid w:val="00133ED1"/>
    <w:rsid w:val="00135284"/>
    <w:rsid w:val="00140150"/>
    <w:rsid w:val="0014047C"/>
    <w:rsid w:val="001411A9"/>
    <w:rsid w:val="001420B9"/>
    <w:rsid w:val="001435D6"/>
    <w:rsid w:val="00143BD5"/>
    <w:rsid w:val="00144BBC"/>
    <w:rsid w:val="00145334"/>
    <w:rsid w:val="00145ACD"/>
    <w:rsid w:val="00146122"/>
    <w:rsid w:val="001462F0"/>
    <w:rsid w:val="00146512"/>
    <w:rsid w:val="00150F31"/>
    <w:rsid w:val="00153A6D"/>
    <w:rsid w:val="001541C1"/>
    <w:rsid w:val="001548C4"/>
    <w:rsid w:val="00155D19"/>
    <w:rsid w:val="00156592"/>
    <w:rsid w:val="00157040"/>
    <w:rsid w:val="0015724D"/>
    <w:rsid w:val="00157934"/>
    <w:rsid w:val="00157FBA"/>
    <w:rsid w:val="00160ECF"/>
    <w:rsid w:val="00162355"/>
    <w:rsid w:val="0016238B"/>
    <w:rsid w:val="00162573"/>
    <w:rsid w:val="00162DC0"/>
    <w:rsid w:val="00162EDD"/>
    <w:rsid w:val="001630C1"/>
    <w:rsid w:val="0016467C"/>
    <w:rsid w:val="00165D5F"/>
    <w:rsid w:val="00165DB8"/>
    <w:rsid w:val="0016655D"/>
    <w:rsid w:val="001673E7"/>
    <w:rsid w:val="001675F2"/>
    <w:rsid w:val="00170D88"/>
    <w:rsid w:val="001710B7"/>
    <w:rsid w:val="001713CB"/>
    <w:rsid w:val="00171D93"/>
    <w:rsid w:val="001723E9"/>
    <w:rsid w:val="0017494B"/>
    <w:rsid w:val="00176271"/>
    <w:rsid w:val="001765A8"/>
    <w:rsid w:val="001774F0"/>
    <w:rsid w:val="00177B13"/>
    <w:rsid w:val="00180CA8"/>
    <w:rsid w:val="0018372E"/>
    <w:rsid w:val="00183BBC"/>
    <w:rsid w:val="00185203"/>
    <w:rsid w:val="00186D2A"/>
    <w:rsid w:val="00192BB5"/>
    <w:rsid w:val="00192EE9"/>
    <w:rsid w:val="00192F22"/>
    <w:rsid w:val="0019326A"/>
    <w:rsid w:val="00193CCF"/>
    <w:rsid w:val="0019499D"/>
    <w:rsid w:val="001956AE"/>
    <w:rsid w:val="00196E29"/>
    <w:rsid w:val="0019755A"/>
    <w:rsid w:val="001A05D5"/>
    <w:rsid w:val="001A07C4"/>
    <w:rsid w:val="001A10AC"/>
    <w:rsid w:val="001A11C7"/>
    <w:rsid w:val="001A297F"/>
    <w:rsid w:val="001A46DE"/>
    <w:rsid w:val="001A4C6A"/>
    <w:rsid w:val="001A5CE9"/>
    <w:rsid w:val="001A7469"/>
    <w:rsid w:val="001A7951"/>
    <w:rsid w:val="001B2188"/>
    <w:rsid w:val="001B2D5D"/>
    <w:rsid w:val="001B7021"/>
    <w:rsid w:val="001C01AD"/>
    <w:rsid w:val="001C07D0"/>
    <w:rsid w:val="001C12B9"/>
    <w:rsid w:val="001C1875"/>
    <w:rsid w:val="001C26C4"/>
    <w:rsid w:val="001C31DB"/>
    <w:rsid w:val="001C3D1F"/>
    <w:rsid w:val="001D026E"/>
    <w:rsid w:val="001D0440"/>
    <w:rsid w:val="001D127C"/>
    <w:rsid w:val="001D4658"/>
    <w:rsid w:val="001D4FA3"/>
    <w:rsid w:val="001D5B4C"/>
    <w:rsid w:val="001D5C5D"/>
    <w:rsid w:val="001D7FE9"/>
    <w:rsid w:val="001E02C8"/>
    <w:rsid w:val="001E077A"/>
    <w:rsid w:val="001E3B68"/>
    <w:rsid w:val="001E4BEC"/>
    <w:rsid w:val="001E6067"/>
    <w:rsid w:val="001E7EF6"/>
    <w:rsid w:val="001F0A81"/>
    <w:rsid w:val="001F1206"/>
    <w:rsid w:val="001F1374"/>
    <w:rsid w:val="001F200E"/>
    <w:rsid w:val="001F2405"/>
    <w:rsid w:val="001F2441"/>
    <w:rsid w:val="001F5CC9"/>
    <w:rsid w:val="00200AC1"/>
    <w:rsid w:val="0020277F"/>
    <w:rsid w:val="0020278E"/>
    <w:rsid w:val="00204C6A"/>
    <w:rsid w:val="00204FC5"/>
    <w:rsid w:val="00205229"/>
    <w:rsid w:val="00205639"/>
    <w:rsid w:val="00210318"/>
    <w:rsid w:val="00212232"/>
    <w:rsid w:val="002131EC"/>
    <w:rsid w:val="002152C8"/>
    <w:rsid w:val="002161A8"/>
    <w:rsid w:val="002204AC"/>
    <w:rsid w:val="00221BE7"/>
    <w:rsid w:val="002225FA"/>
    <w:rsid w:val="002233A6"/>
    <w:rsid w:val="00223EB2"/>
    <w:rsid w:val="002245BC"/>
    <w:rsid w:val="002247AB"/>
    <w:rsid w:val="00224DE2"/>
    <w:rsid w:val="00226450"/>
    <w:rsid w:val="0022703D"/>
    <w:rsid w:val="0022779E"/>
    <w:rsid w:val="00230753"/>
    <w:rsid w:val="002319E1"/>
    <w:rsid w:val="00232039"/>
    <w:rsid w:val="002320C8"/>
    <w:rsid w:val="00232433"/>
    <w:rsid w:val="00233D12"/>
    <w:rsid w:val="00234448"/>
    <w:rsid w:val="0023597B"/>
    <w:rsid w:val="00240047"/>
    <w:rsid w:val="00240613"/>
    <w:rsid w:val="00240ACF"/>
    <w:rsid w:val="00241865"/>
    <w:rsid w:val="00241BB6"/>
    <w:rsid w:val="00242368"/>
    <w:rsid w:val="0024244A"/>
    <w:rsid w:val="00242833"/>
    <w:rsid w:val="00243EDC"/>
    <w:rsid w:val="00244533"/>
    <w:rsid w:val="0024607B"/>
    <w:rsid w:val="002461F5"/>
    <w:rsid w:val="00246961"/>
    <w:rsid w:val="00247028"/>
    <w:rsid w:val="00247C25"/>
    <w:rsid w:val="002504D2"/>
    <w:rsid w:val="002528BA"/>
    <w:rsid w:val="00252BAE"/>
    <w:rsid w:val="002544E8"/>
    <w:rsid w:val="002548A7"/>
    <w:rsid w:val="0025507E"/>
    <w:rsid w:val="00256E18"/>
    <w:rsid w:val="002573A9"/>
    <w:rsid w:val="00257E5B"/>
    <w:rsid w:val="00260698"/>
    <w:rsid w:val="00262421"/>
    <w:rsid w:val="00264920"/>
    <w:rsid w:val="00264E35"/>
    <w:rsid w:val="00266B2C"/>
    <w:rsid w:val="00267959"/>
    <w:rsid w:val="00274CD6"/>
    <w:rsid w:val="00276DA9"/>
    <w:rsid w:val="00277584"/>
    <w:rsid w:val="00277B6E"/>
    <w:rsid w:val="00278825"/>
    <w:rsid w:val="002802E3"/>
    <w:rsid w:val="00280ACB"/>
    <w:rsid w:val="00281DDD"/>
    <w:rsid w:val="00282694"/>
    <w:rsid w:val="0028405A"/>
    <w:rsid w:val="00284300"/>
    <w:rsid w:val="00286F93"/>
    <w:rsid w:val="002870C1"/>
    <w:rsid w:val="002906BE"/>
    <w:rsid w:val="002907C0"/>
    <w:rsid w:val="00290CD5"/>
    <w:rsid w:val="00290CD9"/>
    <w:rsid w:val="00295C0E"/>
    <w:rsid w:val="002A426A"/>
    <w:rsid w:val="002A518C"/>
    <w:rsid w:val="002A56E1"/>
    <w:rsid w:val="002A5B80"/>
    <w:rsid w:val="002A6C46"/>
    <w:rsid w:val="002B005A"/>
    <w:rsid w:val="002B14FD"/>
    <w:rsid w:val="002B2153"/>
    <w:rsid w:val="002B3C12"/>
    <w:rsid w:val="002B46F1"/>
    <w:rsid w:val="002B4D16"/>
    <w:rsid w:val="002B5D6B"/>
    <w:rsid w:val="002B631F"/>
    <w:rsid w:val="002B6756"/>
    <w:rsid w:val="002B6B90"/>
    <w:rsid w:val="002B7303"/>
    <w:rsid w:val="002B7558"/>
    <w:rsid w:val="002C0CA1"/>
    <w:rsid w:val="002C13D1"/>
    <w:rsid w:val="002C17A4"/>
    <w:rsid w:val="002C26FC"/>
    <w:rsid w:val="002C3064"/>
    <w:rsid w:val="002C35A7"/>
    <w:rsid w:val="002C5744"/>
    <w:rsid w:val="002D0A66"/>
    <w:rsid w:val="002D16F2"/>
    <w:rsid w:val="002D17EC"/>
    <w:rsid w:val="002D2F50"/>
    <w:rsid w:val="002D3B3E"/>
    <w:rsid w:val="002D3FEB"/>
    <w:rsid w:val="002D5556"/>
    <w:rsid w:val="002D5901"/>
    <w:rsid w:val="002E072D"/>
    <w:rsid w:val="002E07AA"/>
    <w:rsid w:val="002E2ADD"/>
    <w:rsid w:val="002E2B16"/>
    <w:rsid w:val="002E434C"/>
    <w:rsid w:val="002E512A"/>
    <w:rsid w:val="002E5869"/>
    <w:rsid w:val="002E72C8"/>
    <w:rsid w:val="002F0191"/>
    <w:rsid w:val="002F18CB"/>
    <w:rsid w:val="002F406A"/>
    <w:rsid w:val="002F6D1D"/>
    <w:rsid w:val="002F6F69"/>
    <w:rsid w:val="003000F3"/>
    <w:rsid w:val="00300D45"/>
    <w:rsid w:val="0030118A"/>
    <w:rsid w:val="00301DEB"/>
    <w:rsid w:val="00304FA5"/>
    <w:rsid w:val="003054ED"/>
    <w:rsid w:val="00306ABA"/>
    <w:rsid w:val="00307DCE"/>
    <w:rsid w:val="00310643"/>
    <w:rsid w:val="00310B33"/>
    <w:rsid w:val="003115BB"/>
    <w:rsid w:val="00312762"/>
    <w:rsid w:val="00313314"/>
    <w:rsid w:val="00314116"/>
    <w:rsid w:val="00314540"/>
    <w:rsid w:val="00315494"/>
    <w:rsid w:val="00316D67"/>
    <w:rsid w:val="003172A5"/>
    <w:rsid w:val="00321CA2"/>
    <w:rsid w:val="00322AD1"/>
    <w:rsid w:val="00325341"/>
    <w:rsid w:val="0032704D"/>
    <w:rsid w:val="00331CA5"/>
    <w:rsid w:val="00334386"/>
    <w:rsid w:val="00334422"/>
    <w:rsid w:val="003346B0"/>
    <w:rsid w:val="0033520A"/>
    <w:rsid w:val="00335CB9"/>
    <w:rsid w:val="0033627D"/>
    <w:rsid w:val="003363E6"/>
    <w:rsid w:val="0033647F"/>
    <w:rsid w:val="0034132A"/>
    <w:rsid w:val="00342481"/>
    <w:rsid w:val="00342819"/>
    <w:rsid w:val="00342F0F"/>
    <w:rsid w:val="003440DF"/>
    <w:rsid w:val="003448A9"/>
    <w:rsid w:val="003449FF"/>
    <w:rsid w:val="00344BED"/>
    <w:rsid w:val="00346253"/>
    <w:rsid w:val="00346CA2"/>
    <w:rsid w:val="00347461"/>
    <w:rsid w:val="00347599"/>
    <w:rsid w:val="003502F5"/>
    <w:rsid w:val="00351F27"/>
    <w:rsid w:val="00353D3C"/>
    <w:rsid w:val="00354CA5"/>
    <w:rsid w:val="00355F98"/>
    <w:rsid w:val="00357379"/>
    <w:rsid w:val="00357E78"/>
    <w:rsid w:val="003603C5"/>
    <w:rsid w:val="00362002"/>
    <w:rsid w:val="00364F19"/>
    <w:rsid w:val="00364F9E"/>
    <w:rsid w:val="003651B8"/>
    <w:rsid w:val="003652F6"/>
    <w:rsid w:val="00365AAB"/>
    <w:rsid w:val="0036630F"/>
    <w:rsid w:val="003670CC"/>
    <w:rsid w:val="0036767A"/>
    <w:rsid w:val="0036A00D"/>
    <w:rsid w:val="00372B91"/>
    <w:rsid w:val="00372CB0"/>
    <w:rsid w:val="00375278"/>
    <w:rsid w:val="003758BD"/>
    <w:rsid w:val="003779AD"/>
    <w:rsid w:val="00377C82"/>
    <w:rsid w:val="00377ED7"/>
    <w:rsid w:val="003807E6"/>
    <w:rsid w:val="003808BA"/>
    <w:rsid w:val="003829E8"/>
    <w:rsid w:val="003839F3"/>
    <w:rsid w:val="00383FB5"/>
    <w:rsid w:val="0038418A"/>
    <w:rsid w:val="00385B80"/>
    <w:rsid w:val="0038698D"/>
    <w:rsid w:val="00390425"/>
    <w:rsid w:val="003907E6"/>
    <w:rsid w:val="00390D3A"/>
    <w:rsid w:val="003911BB"/>
    <w:rsid w:val="00391277"/>
    <w:rsid w:val="00391AB3"/>
    <w:rsid w:val="00392288"/>
    <w:rsid w:val="003940CC"/>
    <w:rsid w:val="00394AE1"/>
    <w:rsid w:val="00394D98"/>
    <w:rsid w:val="003A15E4"/>
    <w:rsid w:val="003A4705"/>
    <w:rsid w:val="003A4B5B"/>
    <w:rsid w:val="003A7BA9"/>
    <w:rsid w:val="003A7FBA"/>
    <w:rsid w:val="003B37AB"/>
    <w:rsid w:val="003B44FF"/>
    <w:rsid w:val="003B4A17"/>
    <w:rsid w:val="003B5217"/>
    <w:rsid w:val="003B5679"/>
    <w:rsid w:val="003B5CF9"/>
    <w:rsid w:val="003B774C"/>
    <w:rsid w:val="003C1E2D"/>
    <w:rsid w:val="003C22C8"/>
    <w:rsid w:val="003C2B15"/>
    <w:rsid w:val="003C2D4D"/>
    <w:rsid w:val="003C4778"/>
    <w:rsid w:val="003D750E"/>
    <w:rsid w:val="003D7883"/>
    <w:rsid w:val="003D7FB6"/>
    <w:rsid w:val="003E3547"/>
    <w:rsid w:val="003E4EEF"/>
    <w:rsid w:val="003E646C"/>
    <w:rsid w:val="003E6CB0"/>
    <w:rsid w:val="003E7655"/>
    <w:rsid w:val="003E7CCF"/>
    <w:rsid w:val="003F0F25"/>
    <w:rsid w:val="003F148C"/>
    <w:rsid w:val="003F19B0"/>
    <w:rsid w:val="003F265D"/>
    <w:rsid w:val="003F5C99"/>
    <w:rsid w:val="003F794A"/>
    <w:rsid w:val="004024CB"/>
    <w:rsid w:val="004027B0"/>
    <w:rsid w:val="00402D6A"/>
    <w:rsid w:val="0040410D"/>
    <w:rsid w:val="00404615"/>
    <w:rsid w:val="00404F2D"/>
    <w:rsid w:val="0040603B"/>
    <w:rsid w:val="004065B2"/>
    <w:rsid w:val="0040709F"/>
    <w:rsid w:val="00410D93"/>
    <w:rsid w:val="00411C03"/>
    <w:rsid w:val="00412EF9"/>
    <w:rsid w:val="004131AD"/>
    <w:rsid w:val="0041339E"/>
    <w:rsid w:val="00413873"/>
    <w:rsid w:val="00414969"/>
    <w:rsid w:val="00416F6B"/>
    <w:rsid w:val="004171AC"/>
    <w:rsid w:val="0041737D"/>
    <w:rsid w:val="004178CE"/>
    <w:rsid w:val="00421A1E"/>
    <w:rsid w:val="00423B90"/>
    <w:rsid w:val="00424484"/>
    <w:rsid w:val="00425877"/>
    <w:rsid w:val="00425A20"/>
    <w:rsid w:val="0042694D"/>
    <w:rsid w:val="004308C0"/>
    <w:rsid w:val="00432075"/>
    <w:rsid w:val="004325F3"/>
    <w:rsid w:val="00433D1C"/>
    <w:rsid w:val="00433D44"/>
    <w:rsid w:val="00435449"/>
    <w:rsid w:val="00435A65"/>
    <w:rsid w:val="00436800"/>
    <w:rsid w:val="00437349"/>
    <w:rsid w:val="004401DC"/>
    <w:rsid w:val="0044316A"/>
    <w:rsid w:val="00444087"/>
    <w:rsid w:val="004451D9"/>
    <w:rsid w:val="00445B36"/>
    <w:rsid w:val="004468F4"/>
    <w:rsid w:val="00446AF3"/>
    <w:rsid w:val="004476E6"/>
    <w:rsid w:val="00447C0C"/>
    <w:rsid w:val="00450494"/>
    <w:rsid w:val="004508E0"/>
    <w:rsid w:val="004516AF"/>
    <w:rsid w:val="004524A8"/>
    <w:rsid w:val="00453204"/>
    <w:rsid w:val="00455DF7"/>
    <w:rsid w:val="00457916"/>
    <w:rsid w:val="00457929"/>
    <w:rsid w:val="00457CF8"/>
    <w:rsid w:val="00462146"/>
    <w:rsid w:val="004628BC"/>
    <w:rsid w:val="00462A5F"/>
    <w:rsid w:val="00465AF2"/>
    <w:rsid w:val="004660D2"/>
    <w:rsid w:val="004675C3"/>
    <w:rsid w:val="00467B60"/>
    <w:rsid w:val="00470C06"/>
    <w:rsid w:val="004713A9"/>
    <w:rsid w:val="00472FE6"/>
    <w:rsid w:val="004740C2"/>
    <w:rsid w:val="00475576"/>
    <w:rsid w:val="004761B8"/>
    <w:rsid w:val="00476F1D"/>
    <w:rsid w:val="00476FB9"/>
    <w:rsid w:val="004770E1"/>
    <w:rsid w:val="0047713F"/>
    <w:rsid w:val="004774F5"/>
    <w:rsid w:val="00480461"/>
    <w:rsid w:val="00481083"/>
    <w:rsid w:val="004816C6"/>
    <w:rsid w:val="00481ECD"/>
    <w:rsid w:val="00482C75"/>
    <w:rsid w:val="004839A5"/>
    <w:rsid w:val="00483CD6"/>
    <w:rsid w:val="00485177"/>
    <w:rsid w:val="004859BA"/>
    <w:rsid w:val="00486CD4"/>
    <w:rsid w:val="00487BE3"/>
    <w:rsid w:val="004909AC"/>
    <w:rsid w:val="00490D57"/>
    <w:rsid w:val="00491234"/>
    <w:rsid w:val="0049192C"/>
    <w:rsid w:val="0049445A"/>
    <w:rsid w:val="00496D70"/>
    <w:rsid w:val="00497FA8"/>
    <w:rsid w:val="004A0DD1"/>
    <w:rsid w:val="004A1294"/>
    <w:rsid w:val="004A17C8"/>
    <w:rsid w:val="004A1869"/>
    <w:rsid w:val="004A2247"/>
    <w:rsid w:val="004A2622"/>
    <w:rsid w:val="004A33DC"/>
    <w:rsid w:val="004A4724"/>
    <w:rsid w:val="004A4796"/>
    <w:rsid w:val="004A47B7"/>
    <w:rsid w:val="004A5FCB"/>
    <w:rsid w:val="004B1E93"/>
    <w:rsid w:val="004B4949"/>
    <w:rsid w:val="004B4E35"/>
    <w:rsid w:val="004B6FC0"/>
    <w:rsid w:val="004C3EA3"/>
    <w:rsid w:val="004C4DE6"/>
    <w:rsid w:val="004C58D2"/>
    <w:rsid w:val="004C64B5"/>
    <w:rsid w:val="004C6534"/>
    <w:rsid w:val="004D1163"/>
    <w:rsid w:val="004D2A22"/>
    <w:rsid w:val="004D430C"/>
    <w:rsid w:val="004D432F"/>
    <w:rsid w:val="004D4BE2"/>
    <w:rsid w:val="004D6381"/>
    <w:rsid w:val="004D76D8"/>
    <w:rsid w:val="004E0B04"/>
    <w:rsid w:val="004E1421"/>
    <w:rsid w:val="004E2327"/>
    <w:rsid w:val="004E28D7"/>
    <w:rsid w:val="004E36BD"/>
    <w:rsid w:val="004F0E90"/>
    <w:rsid w:val="004F1799"/>
    <w:rsid w:val="004F42D4"/>
    <w:rsid w:val="004F4FD7"/>
    <w:rsid w:val="004F6BDA"/>
    <w:rsid w:val="004F6C72"/>
    <w:rsid w:val="004F76CE"/>
    <w:rsid w:val="00501F42"/>
    <w:rsid w:val="005029CD"/>
    <w:rsid w:val="00502E4E"/>
    <w:rsid w:val="0050396E"/>
    <w:rsid w:val="005062C7"/>
    <w:rsid w:val="005069B2"/>
    <w:rsid w:val="00507799"/>
    <w:rsid w:val="00511621"/>
    <w:rsid w:val="00511F45"/>
    <w:rsid w:val="00513AC3"/>
    <w:rsid w:val="00514C2B"/>
    <w:rsid w:val="00514EC1"/>
    <w:rsid w:val="0051501D"/>
    <w:rsid w:val="00515FC2"/>
    <w:rsid w:val="0051648D"/>
    <w:rsid w:val="00516E6F"/>
    <w:rsid w:val="0051748C"/>
    <w:rsid w:val="00520052"/>
    <w:rsid w:val="005211BA"/>
    <w:rsid w:val="00521210"/>
    <w:rsid w:val="00521A5B"/>
    <w:rsid w:val="005221A8"/>
    <w:rsid w:val="0052226D"/>
    <w:rsid w:val="005227BE"/>
    <w:rsid w:val="00522B49"/>
    <w:rsid w:val="00522C29"/>
    <w:rsid w:val="00523334"/>
    <w:rsid w:val="0052425D"/>
    <w:rsid w:val="00525653"/>
    <w:rsid w:val="00526EEE"/>
    <w:rsid w:val="00526F63"/>
    <w:rsid w:val="00527424"/>
    <w:rsid w:val="00527D00"/>
    <w:rsid w:val="00530E3D"/>
    <w:rsid w:val="0053216E"/>
    <w:rsid w:val="00535794"/>
    <w:rsid w:val="00537449"/>
    <w:rsid w:val="0053754D"/>
    <w:rsid w:val="005429C9"/>
    <w:rsid w:val="00543907"/>
    <w:rsid w:val="00545308"/>
    <w:rsid w:val="00545DFA"/>
    <w:rsid w:val="0054602A"/>
    <w:rsid w:val="00546793"/>
    <w:rsid w:val="005513DC"/>
    <w:rsid w:val="00552C33"/>
    <w:rsid w:val="0055309F"/>
    <w:rsid w:val="00553680"/>
    <w:rsid w:val="005543D1"/>
    <w:rsid w:val="00554444"/>
    <w:rsid w:val="00555F66"/>
    <w:rsid w:val="00557081"/>
    <w:rsid w:val="005570CB"/>
    <w:rsid w:val="00562653"/>
    <w:rsid w:val="00563D7F"/>
    <w:rsid w:val="00564F15"/>
    <w:rsid w:val="00565C83"/>
    <w:rsid w:val="005663B7"/>
    <w:rsid w:val="005707EE"/>
    <w:rsid w:val="00571EC3"/>
    <w:rsid w:val="005743F5"/>
    <w:rsid w:val="0057762D"/>
    <w:rsid w:val="00577B5B"/>
    <w:rsid w:val="005801BC"/>
    <w:rsid w:val="00581571"/>
    <w:rsid w:val="00581592"/>
    <w:rsid w:val="00581D63"/>
    <w:rsid w:val="00581F05"/>
    <w:rsid w:val="0058216C"/>
    <w:rsid w:val="00583F1E"/>
    <w:rsid w:val="005840EB"/>
    <w:rsid w:val="0058433E"/>
    <w:rsid w:val="005848CF"/>
    <w:rsid w:val="00584BAC"/>
    <w:rsid w:val="00585000"/>
    <w:rsid w:val="00585226"/>
    <w:rsid w:val="00585C4A"/>
    <w:rsid w:val="00585D81"/>
    <w:rsid w:val="00585F8D"/>
    <w:rsid w:val="00586716"/>
    <w:rsid w:val="00586B9D"/>
    <w:rsid w:val="0059002A"/>
    <w:rsid w:val="005939C2"/>
    <w:rsid w:val="005950A8"/>
    <w:rsid w:val="0059576E"/>
    <w:rsid w:val="00595CF8"/>
    <w:rsid w:val="005970A9"/>
    <w:rsid w:val="005A0BD2"/>
    <w:rsid w:val="005A2C50"/>
    <w:rsid w:val="005A41E1"/>
    <w:rsid w:val="005A4B1F"/>
    <w:rsid w:val="005A61FF"/>
    <w:rsid w:val="005A6E58"/>
    <w:rsid w:val="005A72EB"/>
    <w:rsid w:val="005B06F1"/>
    <w:rsid w:val="005B110E"/>
    <w:rsid w:val="005B259E"/>
    <w:rsid w:val="005B39AE"/>
    <w:rsid w:val="005B482A"/>
    <w:rsid w:val="005B54AE"/>
    <w:rsid w:val="005B617B"/>
    <w:rsid w:val="005B6251"/>
    <w:rsid w:val="005B7E85"/>
    <w:rsid w:val="005C0C16"/>
    <w:rsid w:val="005C18EF"/>
    <w:rsid w:val="005C30F0"/>
    <w:rsid w:val="005C3655"/>
    <w:rsid w:val="005C5880"/>
    <w:rsid w:val="005C6E30"/>
    <w:rsid w:val="005D136F"/>
    <w:rsid w:val="005D1D30"/>
    <w:rsid w:val="005D3217"/>
    <w:rsid w:val="005D544D"/>
    <w:rsid w:val="005D552E"/>
    <w:rsid w:val="005D5CDA"/>
    <w:rsid w:val="005D785F"/>
    <w:rsid w:val="005E05BA"/>
    <w:rsid w:val="005E06CB"/>
    <w:rsid w:val="005E131C"/>
    <w:rsid w:val="005E1867"/>
    <w:rsid w:val="005E1A44"/>
    <w:rsid w:val="005E50C2"/>
    <w:rsid w:val="005E67AC"/>
    <w:rsid w:val="005E6FB5"/>
    <w:rsid w:val="005F0E89"/>
    <w:rsid w:val="005F37B1"/>
    <w:rsid w:val="005F4600"/>
    <w:rsid w:val="005F5365"/>
    <w:rsid w:val="005F66E0"/>
    <w:rsid w:val="005F6E45"/>
    <w:rsid w:val="005F7E95"/>
    <w:rsid w:val="00601300"/>
    <w:rsid w:val="00601F76"/>
    <w:rsid w:val="00602907"/>
    <w:rsid w:val="00604C01"/>
    <w:rsid w:val="00611A37"/>
    <w:rsid w:val="00611AAE"/>
    <w:rsid w:val="00611AC4"/>
    <w:rsid w:val="00612964"/>
    <w:rsid w:val="00612998"/>
    <w:rsid w:val="00613241"/>
    <w:rsid w:val="0061373C"/>
    <w:rsid w:val="00613EC0"/>
    <w:rsid w:val="00616138"/>
    <w:rsid w:val="0061706A"/>
    <w:rsid w:val="00617AB9"/>
    <w:rsid w:val="00620E0E"/>
    <w:rsid w:val="00623182"/>
    <w:rsid w:val="00623B70"/>
    <w:rsid w:val="006242A2"/>
    <w:rsid w:val="0062540B"/>
    <w:rsid w:val="00626E25"/>
    <w:rsid w:val="00627099"/>
    <w:rsid w:val="006300C6"/>
    <w:rsid w:val="00630843"/>
    <w:rsid w:val="00633378"/>
    <w:rsid w:val="006349EC"/>
    <w:rsid w:val="00635CFE"/>
    <w:rsid w:val="006361E0"/>
    <w:rsid w:val="00637936"/>
    <w:rsid w:val="006401E1"/>
    <w:rsid w:val="006410D7"/>
    <w:rsid w:val="0064293E"/>
    <w:rsid w:val="006451C8"/>
    <w:rsid w:val="006459EF"/>
    <w:rsid w:val="0064757A"/>
    <w:rsid w:val="0065198F"/>
    <w:rsid w:val="00651ADC"/>
    <w:rsid w:val="006523B5"/>
    <w:rsid w:val="00652F98"/>
    <w:rsid w:val="00653B2F"/>
    <w:rsid w:val="00653E0B"/>
    <w:rsid w:val="00654AB1"/>
    <w:rsid w:val="00654B80"/>
    <w:rsid w:val="00660884"/>
    <w:rsid w:val="00662D43"/>
    <w:rsid w:val="00662E57"/>
    <w:rsid w:val="00663BC0"/>
    <w:rsid w:val="00663F80"/>
    <w:rsid w:val="0066673F"/>
    <w:rsid w:val="00667E6C"/>
    <w:rsid w:val="0067009C"/>
    <w:rsid w:val="0067093B"/>
    <w:rsid w:val="0067173B"/>
    <w:rsid w:val="006726D7"/>
    <w:rsid w:val="0067491F"/>
    <w:rsid w:val="00675557"/>
    <w:rsid w:val="00675F67"/>
    <w:rsid w:val="006773E2"/>
    <w:rsid w:val="00682706"/>
    <w:rsid w:val="00682B1B"/>
    <w:rsid w:val="006830A9"/>
    <w:rsid w:val="00683B6E"/>
    <w:rsid w:val="00684507"/>
    <w:rsid w:val="006879AD"/>
    <w:rsid w:val="006903E5"/>
    <w:rsid w:val="00690BE6"/>
    <w:rsid w:val="00691DE7"/>
    <w:rsid w:val="006937E9"/>
    <w:rsid w:val="00696171"/>
    <w:rsid w:val="00697564"/>
    <w:rsid w:val="00697707"/>
    <w:rsid w:val="006A0358"/>
    <w:rsid w:val="006A248A"/>
    <w:rsid w:val="006A343A"/>
    <w:rsid w:val="006A3E09"/>
    <w:rsid w:val="006A4BAC"/>
    <w:rsid w:val="006A4C13"/>
    <w:rsid w:val="006A588C"/>
    <w:rsid w:val="006A62ED"/>
    <w:rsid w:val="006A7630"/>
    <w:rsid w:val="006A7AF6"/>
    <w:rsid w:val="006B16F1"/>
    <w:rsid w:val="006B1710"/>
    <w:rsid w:val="006B3550"/>
    <w:rsid w:val="006B3F9A"/>
    <w:rsid w:val="006B5073"/>
    <w:rsid w:val="006C1E97"/>
    <w:rsid w:val="006C38AB"/>
    <w:rsid w:val="006C3A84"/>
    <w:rsid w:val="006C4A45"/>
    <w:rsid w:val="006C72CA"/>
    <w:rsid w:val="006D01E8"/>
    <w:rsid w:val="006D07C8"/>
    <w:rsid w:val="006D28CE"/>
    <w:rsid w:val="006D421F"/>
    <w:rsid w:val="006D4B35"/>
    <w:rsid w:val="006D6429"/>
    <w:rsid w:val="006D6C78"/>
    <w:rsid w:val="006D7A8F"/>
    <w:rsid w:val="006E0E99"/>
    <w:rsid w:val="006E16BA"/>
    <w:rsid w:val="006E2131"/>
    <w:rsid w:val="006E2C74"/>
    <w:rsid w:val="006E2E5A"/>
    <w:rsid w:val="006E3D2D"/>
    <w:rsid w:val="006E40F2"/>
    <w:rsid w:val="006E4135"/>
    <w:rsid w:val="006E4541"/>
    <w:rsid w:val="006E5301"/>
    <w:rsid w:val="006E6023"/>
    <w:rsid w:val="006E6415"/>
    <w:rsid w:val="006E641F"/>
    <w:rsid w:val="006E78D2"/>
    <w:rsid w:val="006F11BC"/>
    <w:rsid w:val="006F197A"/>
    <w:rsid w:val="006F4850"/>
    <w:rsid w:val="006F5258"/>
    <w:rsid w:val="006F6A4E"/>
    <w:rsid w:val="006F7584"/>
    <w:rsid w:val="00701A71"/>
    <w:rsid w:val="007025ED"/>
    <w:rsid w:val="0070347C"/>
    <w:rsid w:val="00703FCE"/>
    <w:rsid w:val="007050BD"/>
    <w:rsid w:val="007059AB"/>
    <w:rsid w:val="00705DA5"/>
    <w:rsid w:val="00706BC8"/>
    <w:rsid w:val="0071105E"/>
    <w:rsid w:val="007125EE"/>
    <w:rsid w:val="00713F5E"/>
    <w:rsid w:val="00714209"/>
    <w:rsid w:val="00714A84"/>
    <w:rsid w:val="00715F8A"/>
    <w:rsid w:val="0071602C"/>
    <w:rsid w:val="007173C6"/>
    <w:rsid w:val="007176BA"/>
    <w:rsid w:val="00720B5B"/>
    <w:rsid w:val="007246E9"/>
    <w:rsid w:val="00724BE4"/>
    <w:rsid w:val="00727109"/>
    <w:rsid w:val="0072785B"/>
    <w:rsid w:val="00727BD1"/>
    <w:rsid w:val="0073244D"/>
    <w:rsid w:val="00733DD4"/>
    <w:rsid w:val="0073429A"/>
    <w:rsid w:val="007345CB"/>
    <w:rsid w:val="0073516E"/>
    <w:rsid w:val="007363C1"/>
    <w:rsid w:val="0073728F"/>
    <w:rsid w:val="00737ED9"/>
    <w:rsid w:val="00742637"/>
    <w:rsid w:val="007437F9"/>
    <w:rsid w:val="00744DC1"/>
    <w:rsid w:val="00745FF3"/>
    <w:rsid w:val="007477ED"/>
    <w:rsid w:val="00747DB1"/>
    <w:rsid w:val="007502D2"/>
    <w:rsid w:val="00750981"/>
    <w:rsid w:val="007528B9"/>
    <w:rsid w:val="00752ADC"/>
    <w:rsid w:val="00753A87"/>
    <w:rsid w:val="007542CC"/>
    <w:rsid w:val="0075602F"/>
    <w:rsid w:val="00756551"/>
    <w:rsid w:val="00757BD5"/>
    <w:rsid w:val="0076037C"/>
    <w:rsid w:val="00761E58"/>
    <w:rsid w:val="0076253A"/>
    <w:rsid w:val="00762DF8"/>
    <w:rsid w:val="00763590"/>
    <w:rsid w:val="00763CCA"/>
    <w:rsid w:val="007642FE"/>
    <w:rsid w:val="00766251"/>
    <w:rsid w:val="00766373"/>
    <w:rsid w:val="0076685E"/>
    <w:rsid w:val="00767595"/>
    <w:rsid w:val="007675CD"/>
    <w:rsid w:val="00767EDC"/>
    <w:rsid w:val="00770184"/>
    <w:rsid w:val="00771B31"/>
    <w:rsid w:val="00771F52"/>
    <w:rsid w:val="00771FE1"/>
    <w:rsid w:val="0077307D"/>
    <w:rsid w:val="00774610"/>
    <w:rsid w:val="007748DE"/>
    <w:rsid w:val="00774B5F"/>
    <w:rsid w:val="00774DA9"/>
    <w:rsid w:val="00774DB0"/>
    <w:rsid w:val="0077797F"/>
    <w:rsid w:val="0077B5D9"/>
    <w:rsid w:val="00780B46"/>
    <w:rsid w:val="007829A7"/>
    <w:rsid w:val="00782C18"/>
    <w:rsid w:val="00782E90"/>
    <w:rsid w:val="007837B5"/>
    <w:rsid w:val="00783EAE"/>
    <w:rsid w:val="00790467"/>
    <w:rsid w:val="00790683"/>
    <w:rsid w:val="00791E3F"/>
    <w:rsid w:val="007921CA"/>
    <w:rsid w:val="0079344F"/>
    <w:rsid w:val="0079417C"/>
    <w:rsid w:val="00794AAA"/>
    <w:rsid w:val="00796F0E"/>
    <w:rsid w:val="007A1B11"/>
    <w:rsid w:val="007A3204"/>
    <w:rsid w:val="007A4A03"/>
    <w:rsid w:val="007A4B05"/>
    <w:rsid w:val="007A5FDF"/>
    <w:rsid w:val="007A678C"/>
    <w:rsid w:val="007A6C7F"/>
    <w:rsid w:val="007A70DD"/>
    <w:rsid w:val="007A761B"/>
    <w:rsid w:val="007B020E"/>
    <w:rsid w:val="007B277D"/>
    <w:rsid w:val="007B2E19"/>
    <w:rsid w:val="007B3685"/>
    <w:rsid w:val="007B487A"/>
    <w:rsid w:val="007B4A86"/>
    <w:rsid w:val="007B588B"/>
    <w:rsid w:val="007B5D4C"/>
    <w:rsid w:val="007B6040"/>
    <w:rsid w:val="007B6D79"/>
    <w:rsid w:val="007C0EB2"/>
    <w:rsid w:val="007C1E4F"/>
    <w:rsid w:val="007C27DD"/>
    <w:rsid w:val="007C2F76"/>
    <w:rsid w:val="007C3363"/>
    <w:rsid w:val="007C4730"/>
    <w:rsid w:val="007C4BF6"/>
    <w:rsid w:val="007C6891"/>
    <w:rsid w:val="007D0491"/>
    <w:rsid w:val="007D0991"/>
    <w:rsid w:val="007D20C0"/>
    <w:rsid w:val="007D3090"/>
    <w:rsid w:val="007D384F"/>
    <w:rsid w:val="007D3AB5"/>
    <w:rsid w:val="007D49DE"/>
    <w:rsid w:val="007D5188"/>
    <w:rsid w:val="007D637B"/>
    <w:rsid w:val="007D65D8"/>
    <w:rsid w:val="007D6760"/>
    <w:rsid w:val="007E027B"/>
    <w:rsid w:val="007E0A52"/>
    <w:rsid w:val="007E0BD0"/>
    <w:rsid w:val="007E2471"/>
    <w:rsid w:val="007E2D44"/>
    <w:rsid w:val="007E3256"/>
    <w:rsid w:val="007E44C6"/>
    <w:rsid w:val="007E4B1B"/>
    <w:rsid w:val="007E5BC9"/>
    <w:rsid w:val="007E5FBF"/>
    <w:rsid w:val="007E6FC5"/>
    <w:rsid w:val="007E7F80"/>
    <w:rsid w:val="007F0A1D"/>
    <w:rsid w:val="007F2BCB"/>
    <w:rsid w:val="007F4499"/>
    <w:rsid w:val="007F61B4"/>
    <w:rsid w:val="0080043B"/>
    <w:rsid w:val="00800BEA"/>
    <w:rsid w:val="008015A8"/>
    <w:rsid w:val="008017A5"/>
    <w:rsid w:val="008027BD"/>
    <w:rsid w:val="00803E97"/>
    <w:rsid w:val="00804B21"/>
    <w:rsid w:val="008058A8"/>
    <w:rsid w:val="0080773A"/>
    <w:rsid w:val="008104AB"/>
    <w:rsid w:val="008119AB"/>
    <w:rsid w:val="00814446"/>
    <w:rsid w:val="00816824"/>
    <w:rsid w:val="0081770F"/>
    <w:rsid w:val="00817B17"/>
    <w:rsid w:val="00817D69"/>
    <w:rsid w:val="00821C84"/>
    <w:rsid w:val="00823745"/>
    <w:rsid w:val="00824D94"/>
    <w:rsid w:val="00827E14"/>
    <w:rsid w:val="00827E41"/>
    <w:rsid w:val="00831C41"/>
    <w:rsid w:val="00831C6B"/>
    <w:rsid w:val="00831DA3"/>
    <w:rsid w:val="0083365C"/>
    <w:rsid w:val="008336F9"/>
    <w:rsid w:val="00834366"/>
    <w:rsid w:val="00835747"/>
    <w:rsid w:val="00841682"/>
    <w:rsid w:val="00841B6B"/>
    <w:rsid w:val="00842AD0"/>
    <w:rsid w:val="00844CF1"/>
    <w:rsid w:val="00844D95"/>
    <w:rsid w:val="0084631E"/>
    <w:rsid w:val="00846809"/>
    <w:rsid w:val="008501BD"/>
    <w:rsid w:val="008503F9"/>
    <w:rsid w:val="0085366B"/>
    <w:rsid w:val="008558C7"/>
    <w:rsid w:val="008572DC"/>
    <w:rsid w:val="008573EE"/>
    <w:rsid w:val="0085770C"/>
    <w:rsid w:val="00857A79"/>
    <w:rsid w:val="00857B79"/>
    <w:rsid w:val="00857E42"/>
    <w:rsid w:val="00860B74"/>
    <w:rsid w:val="00861379"/>
    <w:rsid w:val="00861C41"/>
    <w:rsid w:val="00861DD1"/>
    <w:rsid w:val="008627EA"/>
    <w:rsid w:val="0086639A"/>
    <w:rsid w:val="00870310"/>
    <w:rsid w:val="008718DA"/>
    <w:rsid w:val="00872984"/>
    <w:rsid w:val="0087423B"/>
    <w:rsid w:val="00874444"/>
    <w:rsid w:val="00875044"/>
    <w:rsid w:val="00875B9A"/>
    <w:rsid w:val="0088069B"/>
    <w:rsid w:val="00881EB7"/>
    <w:rsid w:val="00881F72"/>
    <w:rsid w:val="00882F28"/>
    <w:rsid w:val="008841DF"/>
    <w:rsid w:val="00885227"/>
    <w:rsid w:val="00885795"/>
    <w:rsid w:val="00886A98"/>
    <w:rsid w:val="00886D80"/>
    <w:rsid w:val="00887EE2"/>
    <w:rsid w:val="00890660"/>
    <w:rsid w:val="008909BB"/>
    <w:rsid w:val="00891904"/>
    <w:rsid w:val="00891B79"/>
    <w:rsid w:val="00892074"/>
    <w:rsid w:val="0089269F"/>
    <w:rsid w:val="00892D47"/>
    <w:rsid w:val="00894FCD"/>
    <w:rsid w:val="008956F9"/>
    <w:rsid w:val="008966ED"/>
    <w:rsid w:val="008A0261"/>
    <w:rsid w:val="008A6F98"/>
    <w:rsid w:val="008A71BE"/>
    <w:rsid w:val="008A760B"/>
    <w:rsid w:val="008B0295"/>
    <w:rsid w:val="008B092B"/>
    <w:rsid w:val="008B1DD8"/>
    <w:rsid w:val="008B2161"/>
    <w:rsid w:val="008B334E"/>
    <w:rsid w:val="008B3945"/>
    <w:rsid w:val="008B543B"/>
    <w:rsid w:val="008C0F1A"/>
    <w:rsid w:val="008C35F8"/>
    <w:rsid w:val="008C3971"/>
    <w:rsid w:val="008C3D08"/>
    <w:rsid w:val="008C4212"/>
    <w:rsid w:val="008C4704"/>
    <w:rsid w:val="008C50A4"/>
    <w:rsid w:val="008C5FCD"/>
    <w:rsid w:val="008C5FE1"/>
    <w:rsid w:val="008C75E9"/>
    <w:rsid w:val="008D0455"/>
    <w:rsid w:val="008D0B20"/>
    <w:rsid w:val="008D112E"/>
    <w:rsid w:val="008D2162"/>
    <w:rsid w:val="008D32B5"/>
    <w:rsid w:val="008D4954"/>
    <w:rsid w:val="008D4F1A"/>
    <w:rsid w:val="008D5938"/>
    <w:rsid w:val="008D5D74"/>
    <w:rsid w:val="008D7D4A"/>
    <w:rsid w:val="008D7F87"/>
    <w:rsid w:val="008E0031"/>
    <w:rsid w:val="008E3B50"/>
    <w:rsid w:val="008E44FE"/>
    <w:rsid w:val="008E4B89"/>
    <w:rsid w:val="008E66A8"/>
    <w:rsid w:val="008E715F"/>
    <w:rsid w:val="008F06D8"/>
    <w:rsid w:val="008F0958"/>
    <w:rsid w:val="008F1208"/>
    <w:rsid w:val="008F1B6B"/>
    <w:rsid w:val="008F3B0A"/>
    <w:rsid w:val="008F454B"/>
    <w:rsid w:val="008F4783"/>
    <w:rsid w:val="008F4B5B"/>
    <w:rsid w:val="008F4F93"/>
    <w:rsid w:val="008F68EE"/>
    <w:rsid w:val="008F79B4"/>
    <w:rsid w:val="00900112"/>
    <w:rsid w:val="00901162"/>
    <w:rsid w:val="009016D2"/>
    <w:rsid w:val="00901A23"/>
    <w:rsid w:val="009025A0"/>
    <w:rsid w:val="009027B6"/>
    <w:rsid w:val="00902891"/>
    <w:rsid w:val="00904B97"/>
    <w:rsid w:val="00904EBA"/>
    <w:rsid w:val="009070F8"/>
    <w:rsid w:val="009102F1"/>
    <w:rsid w:val="0091109A"/>
    <w:rsid w:val="00911107"/>
    <w:rsid w:val="009111D5"/>
    <w:rsid w:val="00911C08"/>
    <w:rsid w:val="00912696"/>
    <w:rsid w:val="009135DB"/>
    <w:rsid w:val="00913E1C"/>
    <w:rsid w:val="009143C9"/>
    <w:rsid w:val="00914D19"/>
    <w:rsid w:val="0091529E"/>
    <w:rsid w:val="0092025D"/>
    <w:rsid w:val="0092026D"/>
    <w:rsid w:val="0092064E"/>
    <w:rsid w:val="009212D4"/>
    <w:rsid w:val="00922A0D"/>
    <w:rsid w:val="00922A30"/>
    <w:rsid w:val="00922C1D"/>
    <w:rsid w:val="00922DB1"/>
    <w:rsid w:val="00924233"/>
    <w:rsid w:val="00925438"/>
    <w:rsid w:val="00926BA3"/>
    <w:rsid w:val="00927341"/>
    <w:rsid w:val="00927D20"/>
    <w:rsid w:val="00927DED"/>
    <w:rsid w:val="00931366"/>
    <w:rsid w:val="009319AD"/>
    <w:rsid w:val="00932E72"/>
    <w:rsid w:val="00934A34"/>
    <w:rsid w:val="00935471"/>
    <w:rsid w:val="00936D1D"/>
    <w:rsid w:val="009412D0"/>
    <w:rsid w:val="00941861"/>
    <w:rsid w:val="0094223D"/>
    <w:rsid w:val="00943FC5"/>
    <w:rsid w:val="00945093"/>
    <w:rsid w:val="009468B6"/>
    <w:rsid w:val="0095044C"/>
    <w:rsid w:val="0095302A"/>
    <w:rsid w:val="00953E09"/>
    <w:rsid w:val="00953E62"/>
    <w:rsid w:val="009547FD"/>
    <w:rsid w:val="00955171"/>
    <w:rsid w:val="0095630A"/>
    <w:rsid w:val="00956C9C"/>
    <w:rsid w:val="009607E4"/>
    <w:rsid w:val="00960852"/>
    <w:rsid w:val="00962002"/>
    <w:rsid w:val="009625C1"/>
    <w:rsid w:val="009632C2"/>
    <w:rsid w:val="00966A15"/>
    <w:rsid w:val="00966EE2"/>
    <w:rsid w:val="009713B8"/>
    <w:rsid w:val="009718A4"/>
    <w:rsid w:val="00971F53"/>
    <w:rsid w:val="00972150"/>
    <w:rsid w:val="00975629"/>
    <w:rsid w:val="00975A5D"/>
    <w:rsid w:val="00975E10"/>
    <w:rsid w:val="009761CB"/>
    <w:rsid w:val="0097705B"/>
    <w:rsid w:val="00980D65"/>
    <w:rsid w:val="0098117E"/>
    <w:rsid w:val="009834ED"/>
    <w:rsid w:val="00984E5F"/>
    <w:rsid w:val="00987E90"/>
    <w:rsid w:val="00990D5A"/>
    <w:rsid w:val="00991917"/>
    <w:rsid w:val="00991C5B"/>
    <w:rsid w:val="00992291"/>
    <w:rsid w:val="009926CC"/>
    <w:rsid w:val="0099315F"/>
    <w:rsid w:val="009938A3"/>
    <w:rsid w:val="00995201"/>
    <w:rsid w:val="00996516"/>
    <w:rsid w:val="0099710F"/>
    <w:rsid w:val="00997852"/>
    <w:rsid w:val="00997C02"/>
    <w:rsid w:val="00997E01"/>
    <w:rsid w:val="009A1D8A"/>
    <w:rsid w:val="009A1FF4"/>
    <w:rsid w:val="009A213A"/>
    <w:rsid w:val="009A23D4"/>
    <w:rsid w:val="009A2444"/>
    <w:rsid w:val="009A369E"/>
    <w:rsid w:val="009A4716"/>
    <w:rsid w:val="009A4FF6"/>
    <w:rsid w:val="009A6840"/>
    <w:rsid w:val="009A6847"/>
    <w:rsid w:val="009B06FD"/>
    <w:rsid w:val="009B1C71"/>
    <w:rsid w:val="009B2AE9"/>
    <w:rsid w:val="009B2D2C"/>
    <w:rsid w:val="009B3B0A"/>
    <w:rsid w:val="009B4DA6"/>
    <w:rsid w:val="009C014D"/>
    <w:rsid w:val="009C0D32"/>
    <w:rsid w:val="009C15C5"/>
    <w:rsid w:val="009C1F97"/>
    <w:rsid w:val="009C2716"/>
    <w:rsid w:val="009C2C7F"/>
    <w:rsid w:val="009C4FB9"/>
    <w:rsid w:val="009C6DE3"/>
    <w:rsid w:val="009C7DE2"/>
    <w:rsid w:val="009D0F69"/>
    <w:rsid w:val="009D11C8"/>
    <w:rsid w:val="009D172C"/>
    <w:rsid w:val="009D1875"/>
    <w:rsid w:val="009D191F"/>
    <w:rsid w:val="009D2C41"/>
    <w:rsid w:val="009D3518"/>
    <w:rsid w:val="009D364A"/>
    <w:rsid w:val="009D41F7"/>
    <w:rsid w:val="009D53BE"/>
    <w:rsid w:val="009D5D91"/>
    <w:rsid w:val="009D7DA3"/>
    <w:rsid w:val="009E0474"/>
    <w:rsid w:val="009E4A07"/>
    <w:rsid w:val="009E5BF2"/>
    <w:rsid w:val="009E63FD"/>
    <w:rsid w:val="009E6422"/>
    <w:rsid w:val="009F0B41"/>
    <w:rsid w:val="009F247A"/>
    <w:rsid w:val="009F3ED9"/>
    <w:rsid w:val="009F4A0E"/>
    <w:rsid w:val="009F5395"/>
    <w:rsid w:val="009F7D8C"/>
    <w:rsid w:val="00A01A39"/>
    <w:rsid w:val="00A02E49"/>
    <w:rsid w:val="00A06A37"/>
    <w:rsid w:val="00A07635"/>
    <w:rsid w:val="00A07E9E"/>
    <w:rsid w:val="00A103BF"/>
    <w:rsid w:val="00A13A91"/>
    <w:rsid w:val="00A13C73"/>
    <w:rsid w:val="00A13DA5"/>
    <w:rsid w:val="00A149F3"/>
    <w:rsid w:val="00A1539B"/>
    <w:rsid w:val="00A169D7"/>
    <w:rsid w:val="00A16C70"/>
    <w:rsid w:val="00A174F9"/>
    <w:rsid w:val="00A17B7C"/>
    <w:rsid w:val="00A17F01"/>
    <w:rsid w:val="00A20065"/>
    <w:rsid w:val="00A213D1"/>
    <w:rsid w:val="00A24005"/>
    <w:rsid w:val="00A25EF1"/>
    <w:rsid w:val="00A261E8"/>
    <w:rsid w:val="00A264DD"/>
    <w:rsid w:val="00A266BE"/>
    <w:rsid w:val="00A26E46"/>
    <w:rsid w:val="00A272D8"/>
    <w:rsid w:val="00A27F55"/>
    <w:rsid w:val="00A32DB2"/>
    <w:rsid w:val="00A34551"/>
    <w:rsid w:val="00A35105"/>
    <w:rsid w:val="00A36E3E"/>
    <w:rsid w:val="00A3729C"/>
    <w:rsid w:val="00A37656"/>
    <w:rsid w:val="00A43672"/>
    <w:rsid w:val="00A438E4"/>
    <w:rsid w:val="00A43CFD"/>
    <w:rsid w:val="00A44D83"/>
    <w:rsid w:val="00A45236"/>
    <w:rsid w:val="00A505A3"/>
    <w:rsid w:val="00A51852"/>
    <w:rsid w:val="00A53919"/>
    <w:rsid w:val="00A55805"/>
    <w:rsid w:val="00A56616"/>
    <w:rsid w:val="00A57428"/>
    <w:rsid w:val="00A5758C"/>
    <w:rsid w:val="00A57617"/>
    <w:rsid w:val="00A6002A"/>
    <w:rsid w:val="00A60D28"/>
    <w:rsid w:val="00A61EBC"/>
    <w:rsid w:val="00A664BF"/>
    <w:rsid w:val="00A66541"/>
    <w:rsid w:val="00A74FD5"/>
    <w:rsid w:val="00A760A0"/>
    <w:rsid w:val="00A7629E"/>
    <w:rsid w:val="00A76725"/>
    <w:rsid w:val="00A7682D"/>
    <w:rsid w:val="00A77B1F"/>
    <w:rsid w:val="00A77E9F"/>
    <w:rsid w:val="00A80B87"/>
    <w:rsid w:val="00A80F49"/>
    <w:rsid w:val="00A811E1"/>
    <w:rsid w:val="00A81DC3"/>
    <w:rsid w:val="00A824C8"/>
    <w:rsid w:val="00A848CA"/>
    <w:rsid w:val="00A85931"/>
    <w:rsid w:val="00A860E6"/>
    <w:rsid w:val="00A87AEF"/>
    <w:rsid w:val="00A90CAB"/>
    <w:rsid w:val="00A92350"/>
    <w:rsid w:val="00A94A89"/>
    <w:rsid w:val="00A94C0B"/>
    <w:rsid w:val="00A97C21"/>
    <w:rsid w:val="00AA0FD2"/>
    <w:rsid w:val="00AA1CDE"/>
    <w:rsid w:val="00AA239C"/>
    <w:rsid w:val="00AA3186"/>
    <w:rsid w:val="00AA3CAD"/>
    <w:rsid w:val="00AA533C"/>
    <w:rsid w:val="00AA69C7"/>
    <w:rsid w:val="00AA70B6"/>
    <w:rsid w:val="00AA76E2"/>
    <w:rsid w:val="00AB0D8A"/>
    <w:rsid w:val="00AB0E57"/>
    <w:rsid w:val="00AB262E"/>
    <w:rsid w:val="00AB5CF0"/>
    <w:rsid w:val="00AB5F02"/>
    <w:rsid w:val="00AB6773"/>
    <w:rsid w:val="00AB67AC"/>
    <w:rsid w:val="00AC00D4"/>
    <w:rsid w:val="00AC06CE"/>
    <w:rsid w:val="00AC08A7"/>
    <w:rsid w:val="00AC14D8"/>
    <w:rsid w:val="00AC3183"/>
    <w:rsid w:val="00AC3336"/>
    <w:rsid w:val="00AC3844"/>
    <w:rsid w:val="00AC4004"/>
    <w:rsid w:val="00AC4C61"/>
    <w:rsid w:val="00AC4C81"/>
    <w:rsid w:val="00AC5423"/>
    <w:rsid w:val="00AC5667"/>
    <w:rsid w:val="00AC5688"/>
    <w:rsid w:val="00AC61D1"/>
    <w:rsid w:val="00AC7604"/>
    <w:rsid w:val="00AD0D28"/>
    <w:rsid w:val="00AD12AD"/>
    <w:rsid w:val="00AD174B"/>
    <w:rsid w:val="00AD3AC9"/>
    <w:rsid w:val="00AD537C"/>
    <w:rsid w:val="00AD584E"/>
    <w:rsid w:val="00AD6A38"/>
    <w:rsid w:val="00AD73B7"/>
    <w:rsid w:val="00AE0219"/>
    <w:rsid w:val="00AE33E2"/>
    <w:rsid w:val="00AE4893"/>
    <w:rsid w:val="00AE4AAE"/>
    <w:rsid w:val="00AE5D48"/>
    <w:rsid w:val="00AE7B6E"/>
    <w:rsid w:val="00AF03FC"/>
    <w:rsid w:val="00AF28E2"/>
    <w:rsid w:val="00AF297D"/>
    <w:rsid w:val="00AF305C"/>
    <w:rsid w:val="00AF36A3"/>
    <w:rsid w:val="00AF3BFB"/>
    <w:rsid w:val="00AF4892"/>
    <w:rsid w:val="00AF5071"/>
    <w:rsid w:val="00AF71D0"/>
    <w:rsid w:val="00AF7468"/>
    <w:rsid w:val="00B00A95"/>
    <w:rsid w:val="00B00DF0"/>
    <w:rsid w:val="00B022A4"/>
    <w:rsid w:val="00B03448"/>
    <w:rsid w:val="00B052D6"/>
    <w:rsid w:val="00B06129"/>
    <w:rsid w:val="00B0635F"/>
    <w:rsid w:val="00B065CB"/>
    <w:rsid w:val="00B07B69"/>
    <w:rsid w:val="00B10C46"/>
    <w:rsid w:val="00B10DEC"/>
    <w:rsid w:val="00B11E20"/>
    <w:rsid w:val="00B14A6D"/>
    <w:rsid w:val="00B14E77"/>
    <w:rsid w:val="00B175E0"/>
    <w:rsid w:val="00B178B6"/>
    <w:rsid w:val="00B2098C"/>
    <w:rsid w:val="00B20D7C"/>
    <w:rsid w:val="00B214E4"/>
    <w:rsid w:val="00B242BB"/>
    <w:rsid w:val="00B249C7"/>
    <w:rsid w:val="00B2528E"/>
    <w:rsid w:val="00B26D5A"/>
    <w:rsid w:val="00B3017A"/>
    <w:rsid w:val="00B30485"/>
    <w:rsid w:val="00B32715"/>
    <w:rsid w:val="00B33E76"/>
    <w:rsid w:val="00B33F37"/>
    <w:rsid w:val="00B344D7"/>
    <w:rsid w:val="00B36286"/>
    <w:rsid w:val="00B36E95"/>
    <w:rsid w:val="00B40852"/>
    <w:rsid w:val="00B40B8B"/>
    <w:rsid w:val="00B40DE2"/>
    <w:rsid w:val="00B41509"/>
    <w:rsid w:val="00B438E4"/>
    <w:rsid w:val="00B43E5F"/>
    <w:rsid w:val="00B45BF9"/>
    <w:rsid w:val="00B5055E"/>
    <w:rsid w:val="00B5089C"/>
    <w:rsid w:val="00B50A8F"/>
    <w:rsid w:val="00B50BE0"/>
    <w:rsid w:val="00B5294D"/>
    <w:rsid w:val="00B539A7"/>
    <w:rsid w:val="00B54312"/>
    <w:rsid w:val="00B56236"/>
    <w:rsid w:val="00B56A01"/>
    <w:rsid w:val="00B56A55"/>
    <w:rsid w:val="00B600EC"/>
    <w:rsid w:val="00B64460"/>
    <w:rsid w:val="00B647B4"/>
    <w:rsid w:val="00B64A75"/>
    <w:rsid w:val="00B658D9"/>
    <w:rsid w:val="00B65CD5"/>
    <w:rsid w:val="00B7025B"/>
    <w:rsid w:val="00B72286"/>
    <w:rsid w:val="00B748A8"/>
    <w:rsid w:val="00B7514B"/>
    <w:rsid w:val="00B770C4"/>
    <w:rsid w:val="00B773F1"/>
    <w:rsid w:val="00B821DF"/>
    <w:rsid w:val="00B82A25"/>
    <w:rsid w:val="00B84124"/>
    <w:rsid w:val="00B8430A"/>
    <w:rsid w:val="00B869A3"/>
    <w:rsid w:val="00B86DF5"/>
    <w:rsid w:val="00B87E7C"/>
    <w:rsid w:val="00B907F1"/>
    <w:rsid w:val="00B9210D"/>
    <w:rsid w:val="00B922FD"/>
    <w:rsid w:val="00B9355C"/>
    <w:rsid w:val="00B93585"/>
    <w:rsid w:val="00B975C1"/>
    <w:rsid w:val="00BA0F00"/>
    <w:rsid w:val="00BA0F87"/>
    <w:rsid w:val="00BA0FC3"/>
    <w:rsid w:val="00BA154B"/>
    <w:rsid w:val="00BA2DA9"/>
    <w:rsid w:val="00BA3017"/>
    <w:rsid w:val="00BA3928"/>
    <w:rsid w:val="00BA4ACC"/>
    <w:rsid w:val="00BB00E0"/>
    <w:rsid w:val="00BB047E"/>
    <w:rsid w:val="00BB0E80"/>
    <w:rsid w:val="00BB2975"/>
    <w:rsid w:val="00BB3752"/>
    <w:rsid w:val="00BB4ED9"/>
    <w:rsid w:val="00BB6C33"/>
    <w:rsid w:val="00BB6D06"/>
    <w:rsid w:val="00BC070B"/>
    <w:rsid w:val="00BC23B3"/>
    <w:rsid w:val="00BC253E"/>
    <w:rsid w:val="00BC2D8F"/>
    <w:rsid w:val="00BC2DA5"/>
    <w:rsid w:val="00BC3381"/>
    <w:rsid w:val="00BC42D5"/>
    <w:rsid w:val="00BC6404"/>
    <w:rsid w:val="00BC7DC5"/>
    <w:rsid w:val="00BC7E7B"/>
    <w:rsid w:val="00BD0F24"/>
    <w:rsid w:val="00BD1220"/>
    <w:rsid w:val="00BD2615"/>
    <w:rsid w:val="00BD3202"/>
    <w:rsid w:val="00BD517B"/>
    <w:rsid w:val="00BD6E8D"/>
    <w:rsid w:val="00BD78D4"/>
    <w:rsid w:val="00BE0CB7"/>
    <w:rsid w:val="00BE4055"/>
    <w:rsid w:val="00BE4973"/>
    <w:rsid w:val="00BE5C71"/>
    <w:rsid w:val="00BE656C"/>
    <w:rsid w:val="00BE770E"/>
    <w:rsid w:val="00BE7A92"/>
    <w:rsid w:val="00BF0BCE"/>
    <w:rsid w:val="00BF2775"/>
    <w:rsid w:val="00BF6176"/>
    <w:rsid w:val="00BF7169"/>
    <w:rsid w:val="00BF7932"/>
    <w:rsid w:val="00BF7A13"/>
    <w:rsid w:val="00BF7CCC"/>
    <w:rsid w:val="00C00737"/>
    <w:rsid w:val="00C01162"/>
    <w:rsid w:val="00C0206F"/>
    <w:rsid w:val="00C0276F"/>
    <w:rsid w:val="00C0377F"/>
    <w:rsid w:val="00C03F03"/>
    <w:rsid w:val="00C04484"/>
    <w:rsid w:val="00C04CFC"/>
    <w:rsid w:val="00C06E12"/>
    <w:rsid w:val="00C07BE8"/>
    <w:rsid w:val="00C1049E"/>
    <w:rsid w:val="00C10F61"/>
    <w:rsid w:val="00C12238"/>
    <w:rsid w:val="00C13C5B"/>
    <w:rsid w:val="00C13EEF"/>
    <w:rsid w:val="00C146A7"/>
    <w:rsid w:val="00C20CF0"/>
    <w:rsid w:val="00C2100B"/>
    <w:rsid w:val="00C215FC"/>
    <w:rsid w:val="00C225FA"/>
    <w:rsid w:val="00C23DF3"/>
    <w:rsid w:val="00C24523"/>
    <w:rsid w:val="00C24CF8"/>
    <w:rsid w:val="00C24F53"/>
    <w:rsid w:val="00C27BF6"/>
    <w:rsid w:val="00C300EF"/>
    <w:rsid w:val="00C317C9"/>
    <w:rsid w:val="00C31D8C"/>
    <w:rsid w:val="00C32896"/>
    <w:rsid w:val="00C32A2A"/>
    <w:rsid w:val="00C32AAF"/>
    <w:rsid w:val="00C32BA5"/>
    <w:rsid w:val="00C33252"/>
    <w:rsid w:val="00C334DF"/>
    <w:rsid w:val="00C34FA1"/>
    <w:rsid w:val="00C351EF"/>
    <w:rsid w:val="00C3605F"/>
    <w:rsid w:val="00C37403"/>
    <w:rsid w:val="00C37EDC"/>
    <w:rsid w:val="00C40181"/>
    <w:rsid w:val="00C42549"/>
    <w:rsid w:val="00C4291B"/>
    <w:rsid w:val="00C4481E"/>
    <w:rsid w:val="00C45EFF"/>
    <w:rsid w:val="00C4605B"/>
    <w:rsid w:val="00C46D5E"/>
    <w:rsid w:val="00C5108F"/>
    <w:rsid w:val="00C51594"/>
    <w:rsid w:val="00C516B1"/>
    <w:rsid w:val="00C51D00"/>
    <w:rsid w:val="00C5226F"/>
    <w:rsid w:val="00C52465"/>
    <w:rsid w:val="00C5266B"/>
    <w:rsid w:val="00C526DF"/>
    <w:rsid w:val="00C52E37"/>
    <w:rsid w:val="00C54EA9"/>
    <w:rsid w:val="00C553F1"/>
    <w:rsid w:val="00C60650"/>
    <w:rsid w:val="00C61049"/>
    <w:rsid w:val="00C61879"/>
    <w:rsid w:val="00C61E5B"/>
    <w:rsid w:val="00C62182"/>
    <w:rsid w:val="00C64A3E"/>
    <w:rsid w:val="00C64A55"/>
    <w:rsid w:val="00C66C08"/>
    <w:rsid w:val="00C66F56"/>
    <w:rsid w:val="00C6707B"/>
    <w:rsid w:val="00C672E1"/>
    <w:rsid w:val="00C722D8"/>
    <w:rsid w:val="00C72E7B"/>
    <w:rsid w:val="00C73979"/>
    <w:rsid w:val="00C74313"/>
    <w:rsid w:val="00C74A20"/>
    <w:rsid w:val="00C74BBB"/>
    <w:rsid w:val="00C74D20"/>
    <w:rsid w:val="00C75F7C"/>
    <w:rsid w:val="00C76245"/>
    <w:rsid w:val="00C76373"/>
    <w:rsid w:val="00C76631"/>
    <w:rsid w:val="00C7665A"/>
    <w:rsid w:val="00C77143"/>
    <w:rsid w:val="00C81B68"/>
    <w:rsid w:val="00C83280"/>
    <w:rsid w:val="00C83CEB"/>
    <w:rsid w:val="00C84784"/>
    <w:rsid w:val="00C8661B"/>
    <w:rsid w:val="00C90FF5"/>
    <w:rsid w:val="00C92374"/>
    <w:rsid w:val="00C92AC0"/>
    <w:rsid w:val="00C93022"/>
    <w:rsid w:val="00C9555B"/>
    <w:rsid w:val="00C95C7D"/>
    <w:rsid w:val="00C9637A"/>
    <w:rsid w:val="00C963DD"/>
    <w:rsid w:val="00C97104"/>
    <w:rsid w:val="00CA1102"/>
    <w:rsid w:val="00CA3651"/>
    <w:rsid w:val="00CA439D"/>
    <w:rsid w:val="00CA4A81"/>
    <w:rsid w:val="00CA50C6"/>
    <w:rsid w:val="00CA5224"/>
    <w:rsid w:val="00CA52E6"/>
    <w:rsid w:val="00CA6C88"/>
    <w:rsid w:val="00CA79DA"/>
    <w:rsid w:val="00CB0458"/>
    <w:rsid w:val="00CB045C"/>
    <w:rsid w:val="00CB498E"/>
    <w:rsid w:val="00CB59C4"/>
    <w:rsid w:val="00CB5CC1"/>
    <w:rsid w:val="00CB68CB"/>
    <w:rsid w:val="00CB7455"/>
    <w:rsid w:val="00CB7A07"/>
    <w:rsid w:val="00CB7DB1"/>
    <w:rsid w:val="00CC13C1"/>
    <w:rsid w:val="00CC4C8D"/>
    <w:rsid w:val="00CC4F6C"/>
    <w:rsid w:val="00CC5B57"/>
    <w:rsid w:val="00CC6F8E"/>
    <w:rsid w:val="00CD030C"/>
    <w:rsid w:val="00CD092E"/>
    <w:rsid w:val="00CD096D"/>
    <w:rsid w:val="00CD0FB6"/>
    <w:rsid w:val="00CD282A"/>
    <w:rsid w:val="00CD40C2"/>
    <w:rsid w:val="00CD4C37"/>
    <w:rsid w:val="00CD7C6A"/>
    <w:rsid w:val="00CE2073"/>
    <w:rsid w:val="00CE469A"/>
    <w:rsid w:val="00CE4EA4"/>
    <w:rsid w:val="00CE503D"/>
    <w:rsid w:val="00CE57CE"/>
    <w:rsid w:val="00CE6F82"/>
    <w:rsid w:val="00CF0F10"/>
    <w:rsid w:val="00CF2181"/>
    <w:rsid w:val="00CF26FE"/>
    <w:rsid w:val="00CF45CA"/>
    <w:rsid w:val="00CF4B38"/>
    <w:rsid w:val="00CF5FFD"/>
    <w:rsid w:val="00CF6F16"/>
    <w:rsid w:val="00CF76CC"/>
    <w:rsid w:val="00D0054B"/>
    <w:rsid w:val="00D01286"/>
    <w:rsid w:val="00D019CF"/>
    <w:rsid w:val="00D02A76"/>
    <w:rsid w:val="00D02CE9"/>
    <w:rsid w:val="00D02FA5"/>
    <w:rsid w:val="00D0493E"/>
    <w:rsid w:val="00D04A9A"/>
    <w:rsid w:val="00D04CAC"/>
    <w:rsid w:val="00D05445"/>
    <w:rsid w:val="00D0675C"/>
    <w:rsid w:val="00D073F0"/>
    <w:rsid w:val="00D07843"/>
    <w:rsid w:val="00D10345"/>
    <w:rsid w:val="00D109E8"/>
    <w:rsid w:val="00D11C4D"/>
    <w:rsid w:val="00D124DE"/>
    <w:rsid w:val="00D13A25"/>
    <w:rsid w:val="00D13AE9"/>
    <w:rsid w:val="00D13E85"/>
    <w:rsid w:val="00D15E85"/>
    <w:rsid w:val="00D178EE"/>
    <w:rsid w:val="00D21CF6"/>
    <w:rsid w:val="00D22595"/>
    <w:rsid w:val="00D23E9C"/>
    <w:rsid w:val="00D25419"/>
    <w:rsid w:val="00D26558"/>
    <w:rsid w:val="00D27EF1"/>
    <w:rsid w:val="00D30BB1"/>
    <w:rsid w:val="00D319F5"/>
    <w:rsid w:val="00D324E9"/>
    <w:rsid w:val="00D32911"/>
    <w:rsid w:val="00D3553D"/>
    <w:rsid w:val="00D37AA9"/>
    <w:rsid w:val="00D40D18"/>
    <w:rsid w:val="00D40D82"/>
    <w:rsid w:val="00D40EDB"/>
    <w:rsid w:val="00D4170A"/>
    <w:rsid w:val="00D42D89"/>
    <w:rsid w:val="00D42F2E"/>
    <w:rsid w:val="00D43E52"/>
    <w:rsid w:val="00D4595B"/>
    <w:rsid w:val="00D46D97"/>
    <w:rsid w:val="00D47AB5"/>
    <w:rsid w:val="00D5061D"/>
    <w:rsid w:val="00D50931"/>
    <w:rsid w:val="00D511A9"/>
    <w:rsid w:val="00D511E9"/>
    <w:rsid w:val="00D51A9A"/>
    <w:rsid w:val="00D51C6F"/>
    <w:rsid w:val="00D52909"/>
    <w:rsid w:val="00D534D9"/>
    <w:rsid w:val="00D55097"/>
    <w:rsid w:val="00D551F3"/>
    <w:rsid w:val="00D55997"/>
    <w:rsid w:val="00D56155"/>
    <w:rsid w:val="00D56635"/>
    <w:rsid w:val="00D57C52"/>
    <w:rsid w:val="00D605FF"/>
    <w:rsid w:val="00D6180C"/>
    <w:rsid w:val="00D61BC2"/>
    <w:rsid w:val="00D62123"/>
    <w:rsid w:val="00D6218D"/>
    <w:rsid w:val="00D62C73"/>
    <w:rsid w:val="00D63E12"/>
    <w:rsid w:val="00D65A8E"/>
    <w:rsid w:val="00D70580"/>
    <w:rsid w:val="00D70F1E"/>
    <w:rsid w:val="00D743FA"/>
    <w:rsid w:val="00D83514"/>
    <w:rsid w:val="00D84055"/>
    <w:rsid w:val="00D84B87"/>
    <w:rsid w:val="00D84BD7"/>
    <w:rsid w:val="00D86088"/>
    <w:rsid w:val="00D87DFD"/>
    <w:rsid w:val="00D90A56"/>
    <w:rsid w:val="00D90DA0"/>
    <w:rsid w:val="00D92DA3"/>
    <w:rsid w:val="00D936D7"/>
    <w:rsid w:val="00D93903"/>
    <w:rsid w:val="00D93D91"/>
    <w:rsid w:val="00D945AF"/>
    <w:rsid w:val="00D95AF0"/>
    <w:rsid w:val="00D96DA6"/>
    <w:rsid w:val="00D97C95"/>
    <w:rsid w:val="00D97F3E"/>
    <w:rsid w:val="00DA1B60"/>
    <w:rsid w:val="00DA39FC"/>
    <w:rsid w:val="00DA45BE"/>
    <w:rsid w:val="00DA4692"/>
    <w:rsid w:val="00DA4BAC"/>
    <w:rsid w:val="00DB0C1C"/>
    <w:rsid w:val="00DB0C94"/>
    <w:rsid w:val="00DB1008"/>
    <w:rsid w:val="00DB499A"/>
    <w:rsid w:val="00DB4CAB"/>
    <w:rsid w:val="00DB532C"/>
    <w:rsid w:val="00DB559F"/>
    <w:rsid w:val="00DB5933"/>
    <w:rsid w:val="00DB5CDD"/>
    <w:rsid w:val="00DC09B8"/>
    <w:rsid w:val="00DC0EC1"/>
    <w:rsid w:val="00DC3822"/>
    <w:rsid w:val="00DC44F3"/>
    <w:rsid w:val="00DC4DD3"/>
    <w:rsid w:val="00DC5148"/>
    <w:rsid w:val="00DC5775"/>
    <w:rsid w:val="00DC5E2D"/>
    <w:rsid w:val="00DD028A"/>
    <w:rsid w:val="00DD1582"/>
    <w:rsid w:val="00DD173B"/>
    <w:rsid w:val="00DD1F57"/>
    <w:rsid w:val="00DD25C4"/>
    <w:rsid w:val="00DD2C6E"/>
    <w:rsid w:val="00DD57ED"/>
    <w:rsid w:val="00DD60F1"/>
    <w:rsid w:val="00DD7074"/>
    <w:rsid w:val="00DD73E6"/>
    <w:rsid w:val="00DE33AC"/>
    <w:rsid w:val="00DE5688"/>
    <w:rsid w:val="00DE66BB"/>
    <w:rsid w:val="00DE6C4E"/>
    <w:rsid w:val="00DE7BCA"/>
    <w:rsid w:val="00DF0A76"/>
    <w:rsid w:val="00DF1642"/>
    <w:rsid w:val="00DF1898"/>
    <w:rsid w:val="00DF1C11"/>
    <w:rsid w:val="00DF314B"/>
    <w:rsid w:val="00DF3CDF"/>
    <w:rsid w:val="00DF6547"/>
    <w:rsid w:val="00E00676"/>
    <w:rsid w:val="00E00F0A"/>
    <w:rsid w:val="00E03402"/>
    <w:rsid w:val="00E03537"/>
    <w:rsid w:val="00E03C39"/>
    <w:rsid w:val="00E03EF3"/>
    <w:rsid w:val="00E066F2"/>
    <w:rsid w:val="00E06DD0"/>
    <w:rsid w:val="00E0725E"/>
    <w:rsid w:val="00E105BF"/>
    <w:rsid w:val="00E12880"/>
    <w:rsid w:val="00E13B2E"/>
    <w:rsid w:val="00E13E6F"/>
    <w:rsid w:val="00E147A7"/>
    <w:rsid w:val="00E14E9D"/>
    <w:rsid w:val="00E1574A"/>
    <w:rsid w:val="00E15CB2"/>
    <w:rsid w:val="00E204D5"/>
    <w:rsid w:val="00E2081A"/>
    <w:rsid w:val="00E20ED7"/>
    <w:rsid w:val="00E23E1C"/>
    <w:rsid w:val="00E2407C"/>
    <w:rsid w:val="00E263CF"/>
    <w:rsid w:val="00E2673E"/>
    <w:rsid w:val="00E26ACF"/>
    <w:rsid w:val="00E301BB"/>
    <w:rsid w:val="00E3047E"/>
    <w:rsid w:val="00E315DE"/>
    <w:rsid w:val="00E3212D"/>
    <w:rsid w:val="00E322A0"/>
    <w:rsid w:val="00E32AD2"/>
    <w:rsid w:val="00E351A8"/>
    <w:rsid w:val="00E37351"/>
    <w:rsid w:val="00E37575"/>
    <w:rsid w:val="00E40306"/>
    <w:rsid w:val="00E40CDC"/>
    <w:rsid w:val="00E41246"/>
    <w:rsid w:val="00E435FE"/>
    <w:rsid w:val="00E436B3"/>
    <w:rsid w:val="00E437B2"/>
    <w:rsid w:val="00E44331"/>
    <w:rsid w:val="00E447AC"/>
    <w:rsid w:val="00E46359"/>
    <w:rsid w:val="00E50D8A"/>
    <w:rsid w:val="00E5205F"/>
    <w:rsid w:val="00E52F37"/>
    <w:rsid w:val="00E537F1"/>
    <w:rsid w:val="00E5398E"/>
    <w:rsid w:val="00E54CF3"/>
    <w:rsid w:val="00E55EA2"/>
    <w:rsid w:val="00E62C71"/>
    <w:rsid w:val="00E63010"/>
    <w:rsid w:val="00E6386E"/>
    <w:rsid w:val="00E6476C"/>
    <w:rsid w:val="00E6552B"/>
    <w:rsid w:val="00E65E2A"/>
    <w:rsid w:val="00E67494"/>
    <w:rsid w:val="00E677B3"/>
    <w:rsid w:val="00E679CD"/>
    <w:rsid w:val="00E70E98"/>
    <w:rsid w:val="00E712AC"/>
    <w:rsid w:val="00E714BB"/>
    <w:rsid w:val="00E721FD"/>
    <w:rsid w:val="00E7303A"/>
    <w:rsid w:val="00E7307B"/>
    <w:rsid w:val="00E73F6B"/>
    <w:rsid w:val="00E76190"/>
    <w:rsid w:val="00E773D0"/>
    <w:rsid w:val="00E77F36"/>
    <w:rsid w:val="00E8040F"/>
    <w:rsid w:val="00E8073C"/>
    <w:rsid w:val="00E81547"/>
    <w:rsid w:val="00E81BA1"/>
    <w:rsid w:val="00E81E2A"/>
    <w:rsid w:val="00E81ED0"/>
    <w:rsid w:val="00E836C4"/>
    <w:rsid w:val="00E844FD"/>
    <w:rsid w:val="00E846B9"/>
    <w:rsid w:val="00E84794"/>
    <w:rsid w:val="00E856EB"/>
    <w:rsid w:val="00E85F39"/>
    <w:rsid w:val="00E912AD"/>
    <w:rsid w:val="00E96DBA"/>
    <w:rsid w:val="00E96DE3"/>
    <w:rsid w:val="00E976FA"/>
    <w:rsid w:val="00EA2BF6"/>
    <w:rsid w:val="00EA3D8F"/>
    <w:rsid w:val="00EA46CB"/>
    <w:rsid w:val="00EA47BE"/>
    <w:rsid w:val="00EA5CB7"/>
    <w:rsid w:val="00EB33CA"/>
    <w:rsid w:val="00EB390A"/>
    <w:rsid w:val="00EB5A2B"/>
    <w:rsid w:val="00EB6E54"/>
    <w:rsid w:val="00EB719B"/>
    <w:rsid w:val="00EC1E60"/>
    <w:rsid w:val="00EC2181"/>
    <w:rsid w:val="00EC4613"/>
    <w:rsid w:val="00EC570F"/>
    <w:rsid w:val="00EC5B51"/>
    <w:rsid w:val="00EC61BC"/>
    <w:rsid w:val="00EC699C"/>
    <w:rsid w:val="00ED0BD0"/>
    <w:rsid w:val="00ED12E7"/>
    <w:rsid w:val="00ED2C98"/>
    <w:rsid w:val="00ED306D"/>
    <w:rsid w:val="00ED4595"/>
    <w:rsid w:val="00ED5A40"/>
    <w:rsid w:val="00ED5E92"/>
    <w:rsid w:val="00ED76E2"/>
    <w:rsid w:val="00EE1DAA"/>
    <w:rsid w:val="00EE32EF"/>
    <w:rsid w:val="00EE4D13"/>
    <w:rsid w:val="00EE5A05"/>
    <w:rsid w:val="00EE60CF"/>
    <w:rsid w:val="00EE67A1"/>
    <w:rsid w:val="00EE760C"/>
    <w:rsid w:val="00EF0BE8"/>
    <w:rsid w:val="00EF11FF"/>
    <w:rsid w:val="00EF2921"/>
    <w:rsid w:val="00EF69E4"/>
    <w:rsid w:val="00EF7936"/>
    <w:rsid w:val="00EF7C96"/>
    <w:rsid w:val="00F01AB4"/>
    <w:rsid w:val="00F01DAE"/>
    <w:rsid w:val="00F01F32"/>
    <w:rsid w:val="00F02E0D"/>
    <w:rsid w:val="00F0710C"/>
    <w:rsid w:val="00F14622"/>
    <w:rsid w:val="00F154A7"/>
    <w:rsid w:val="00F164C4"/>
    <w:rsid w:val="00F16B64"/>
    <w:rsid w:val="00F16DB8"/>
    <w:rsid w:val="00F16DBE"/>
    <w:rsid w:val="00F1727B"/>
    <w:rsid w:val="00F17319"/>
    <w:rsid w:val="00F17E0D"/>
    <w:rsid w:val="00F209C6"/>
    <w:rsid w:val="00F20D7C"/>
    <w:rsid w:val="00F22003"/>
    <w:rsid w:val="00F25086"/>
    <w:rsid w:val="00F2533D"/>
    <w:rsid w:val="00F274D3"/>
    <w:rsid w:val="00F27927"/>
    <w:rsid w:val="00F3143C"/>
    <w:rsid w:val="00F334F9"/>
    <w:rsid w:val="00F33D30"/>
    <w:rsid w:val="00F35A22"/>
    <w:rsid w:val="00F35F51"/>
    <w:rsid w:val="00F365D7"/>
    <w:rsid w:val="00F37313"/>
    <w:rsid w:val="00F3732E"/>
    <w:rsid w:val="00F42910"/>
    <w:rsid w:val="00F43292"/>
    <w:rsid w:val="00F4411D"/>
    <w:rsid w:val="00F45692"/>
    <w:rsid w:val="00F507DD"/>
    <w:rsid w:val="00F50BD5"/>
    <w:rsid w:val="00F51A9F"/>
    <w:rsid w:val="00F527F5"/>
    <w:rsid w:val="00F52C57"/>
    <w:rsid w:val="00F56AE0"/>
    <w:rsid w:val="00F571E8"/>
    <w:rsid w:val="00F61B4D"/>
    <w:rsid w:val="00F633AB"/>
    <w:rsid w:val="00F6413E"/>
    <w:rsid w:val="00F65A06"/>
    <w:rsid w:val="00F66D7F"/>
    <w:rsid w:val="00F67C79"/>
    <w:rsid w:val="00F71947"/>
    <w:rsid w:val="00F71BB5"/>
    <w:rsid w:val="00F736E5"/>
    <w:rsid w:val="00F74FE2"/>
    <w:rsid w:val="00F77216"/>
    <w:rsid w:val="00F77A58"/>
    <w:rsid w:val="00F81B59"/>
    <w:rsid w:val="00F81BE1"/>
    <w:rsid w:val="00F8285B"/>
    <w:rsid w:val="00F839D4"/>
    <w:rsid w:val="00F83D60"/>
    <w:rsid w:val="00F84118"/>
    <w:rsid w:val="00F846C6"/>
    <w:rsid w:val="00F8470C"/>
    <w:rsid w:val="00F85F64"/>
    <w:rsid w:val="00F9295F"/>
    <w:rsid w:val="00F93DD3"/>
    <w:rsid w:val="00F952FB"/>
    <w:rsid w:val="00F95779"/>
    <w:rsid w:val="00F97043"/>
    <w:rsid w:val="00FA1E22"/>
    <w:rsid w:val="00FA24AA"/>
    <w:rsid w:val="00FA2AE8"/>
    <w:rsid w:val="00FA3989"/>
    <w:rsid w:val="00FA4E16"/>
    <w:rsid w:val="00FA56EA"/>
    <w:rsid w:val="00FA7E83"/>
    <w:rsid w:val="00FB1C32"/>
    <w:rsid w:val="00FB2466"/>
    <w:rsid w:val="00FB2743"/>
    <w:rsid w:val="00FB3D41"/>
    <w:rsid w:val="00FB4035"/>
    <w:rsid w:val="00FB5628"/>
    <w:rsid w:val="00FB66D9"/>
    <w:rsid w:val="00FB7574"/>
    <w:rsid w:val="00FC0B30"/>
    <w:rsid w:val="00FC128B"/>
    <w:rsid w:val="00FC1B04"/>
    <w:rsid w:val="00FC2224"/>
    <w:rsid w:val="00FC3D07"/>
    <w:rsid w:val="00FC4771"/>
    <w:rsid w:val="00FC5722"/>
    <w:rsid w:val="00FC5DB3"/>
    <w:rsid w:val="00FD060F"/>
    <w:rsid w:val="00FD0A03"/>
    <w:rsid w:val="00FD2370"/>
    <w:rsid w:val="00FD3E83"/>
    <w:rsid w:val="00FD4DC8"/>
    <w:rsid w:val="00FD6338"/>
    <w:rsid w:val="00FD6C0E"/>
    <w:rsid w:val="00FD7AF7"/>
    <w:rsid w:val="00FE0BEF"/>
    <w:rsid w:val="00FE13C4"/>
    <w:rsid w:val="00FE2FEB"/>
    <w:rsid w:val="00FE3371"/>
    <w:rsid w:val="00FE3B53"/>
    <w:rsid w:val="00FE4830"/>
    <w:rsid w:val="00FE4C10"/>
    <w:rsid w:val="00FE5161"/>
    <w:rsid w:val="00FE6D3C"/>
    <w:rsid w:val="00FE7EC1"/>
    <w:rsid w:val="00FF022F"/>
    <w:rsid w:val="00FF02A2"/>
    <w:rsid w:val="00FF0ECF"/>
    <w:rsid w:val="00FF3CF1"/>
    <w:rsid w:val="00FF4AE8"/>
    <w:rsid w:val="00FF5039"/>
    <w:rsid w:val="00FF5B84"/>
    <w:rsid w:val="00FF5E80"/>
    <w:rsid w:val="00FF615D"/>
    <w:rsid w:val="00FF7223"/>
    <w:rsid w:val="013F975F"/>
    <w:rsid w:val="01702ACA"/>
    <w:rsid w:val="0186E499"/>
    <w:rsid w:val="01C1505A"/>
    <w:rsid w:val="01CACBFD"/>
    <w:rsid w:val="01D289EA"/>
    <w:rsid w:val="01DF3082"/>
    <w:rsid w:val="0200A24C"/>
    <w:rsid w:val="028060DC"/>
    <w:rsid w:val="02A1CAED"/>
    <w:rsid w:val="02CDC0AB"/>
    <w:rsid w:val="02CE974D"/>
    <w:rsid w:val="02D86219"/>
    <w:rsid w:val="02D949B2"/>
    <w:rsid w:val="02DE36BD"/>
    <w:rsid w:val="02E5DA5E"/>
    <w:rsid w:val="033090DA"/>
    <w:rsid w:val="034F0201"/>
    <w:rsid w:val="036B0C8D"/>
    <w:rsid w:val="038B48F0"/>
    <w:rsid w:val="03996D3D"/>
    <w:rsid w:val="039E8513"/>
    <w:rsid w:val="03BD8D7C"/>
    <w:rsid w:val="03C495DC"/>
    <w:rsid w:val="03DAC10F"/>
    <w:rsid w:val="04002C19"/>
    <w:rsid w:val="041E5C19"/>
    <w:rsid w:val="043CB419"/>
    <w:rsid w:val="047E1143"/>
    <w:rsid w:val="04A0569C"/>
    <w:rsid w:val="04C56007"/>
    <w:rsid w:val="04C660A8"/>
    <w:rsid w:val="05238321"/>
    <w:rsid w:val="052D5528"/>
    <w:rsid w:val="054B7FE6"/>
    <w:rsid w:val="058310D1"/>
    <w:rsid w:val="058863A7"/>
    <w:rsid w:val="0593E5DA"/>
    <w:rsid w:val="05C87397"/>
    <w:rsid w:val="05F411F6"/>
    <w:rsid w:val="06175216"/>
    <w:rsid w:val="061E9568"/>
    <w:rsid w:val="062CBB1C"/>
    <w:rsid w:val="063E3F8B"/>
    <w:rsid w:val="0657D989"/>
    <w:rsid w:val="0663A744"/>
    <w:rsid w:val="067DC7C2"/>
    <w:rsid w:val="06A19643"/>
    <w:rsid w:val="06B5A456"/>
    <w:rsid w:val="06BD57CC"/>
    <w:rsid w:val="06D24FFE"/>
    <w:rsid w:val="06F6249B"/>
    <w:rsid w:val="06F6DB8B"/>
    <w:rsid w:val="07137547"/>
    <w:rsid w:val="0745E9B0"/>
    <w:rsid w:val="075F4A08"/>
    <w:rsid w:val="07C4FF0C"/>
    <w:rsid w:val="0808E3E8"/>
    <w:rsid w:val="081840CC"/>
    <w:rsid w:val="08248E23"/>
    <w:rsid w:val="08412271"/>
    <w:rsid w:val="08A4CBDC"/>
    <w:rsid w:val="08CDF207"/>
    <w:rsid w:val="091A947A"/>
    <w:rsid w:val="093C0D89"/>
    <w:rsid w:val="0970A005"/>
    <w:rsid w:val="09958840"/>
    <w:rsid w:val="09B04A47"/>
    <w:rsid w:val="09F04EF2"/>
    <w:rsid w:val="0A23B375"/>
    <w:rsid w:val="0A2C635D"/>
    <w:rsid w:val="0A33AE7D"/>
    <w:rsid w:val="0A3A902B"/>
    <w:rsid w:val="0A46D2AA"/>
    <w:rsid w:val="0A692B27"/>
    <w:rsid w:val="0A9021C6"/>
    <w:rsid w:val="0ADA5335"/>
    <w:rsid w:val="0AEF4C19"/>
    <w:rsid w:val="0AF8E45B"/>
    <w:rsid w:val="0B4F1BF9"/>
    <w:rsid w:val="0B770752"/>
    <w:rsid w:val="0BB67B77"/>
    <w:rsid w:val="0BBFF1BC"/>
    <w:rsid w:val="0BEA9107"/>
    <w:rsid w:val="0C143C2F"/>
    <w:rsid w:val="0C14645E"/>
    <w:rsid w:val="0C25F949"/>
    <w:rsid w:val="0C37260E"/>
    <w:rsid w:val="0C8AE443"/>
    <w:rsid w:val="0CBF47A9"/>
    <w:rsid w:val="0CF5436D"/>
    <w:rsid w:val="0CFA8D16"/>
    <w:rsid w:val="0D09D824"/>
    <w:rsid w:val="0D48B933"/>
    <w:rsid w:val="0DE098C5"/>
    <w:rsid w:val="0DFE589E"/>
    <w:rsid w:val="0E01EE46"/>
    <w:rsid w:val="0E9E6209"/>
    <w:rsid w:val="0EBA6011"/>
    <w:rsid w:val="0EE586A5"/>
    <w:rsid w:val="0F16D521"/>
    <w:rsid w:val="0F1FB61B"/>
    <w:rsid w:val="0F9CE1C9"/>
    <w:rsid w:val="0FF4D6F7"/>
    <w:rsid w:val="100694E5"/>
    <w:rsid w:val="102A2748"/>
    <w:rsid w:val="104A936B"/>
    <w:rsid w:val="105EF766"/>
    <w:rsid w:val="1065ACA4"/>
    <w:rsid w:val="10781800"/>
    <w:rsid w:val="107A2620"/>
    <w:rsid w:val="109A7134"/>
    <w:rsid w:val="11195F5F"/>
    <w:rsid w:val="1133DB08"/>
    <w:rsid w:val="113CBD6E"/>
    <w:rsid w:val="118BA9CC"/>
    <w:rsid w:val="118C3437"/>
    <w:rsid w:val="11B7AF3C"/>
    <w:rsid w:val="11B8707C"/>
    <w:rsid w:val="11D23240"/>
    <w:rsid w:val="11D49877"/>
    <w:rsid w:val="11D78524"/>
    <w:rsid w:val="1206419A"/>
    <w:rsid w:val="1231D246"/>
    <w:rsid w:val="1243C7A6"/>
    <w:rsid w:val="129ED616"/>
    <w:rsid w:val="12D00294"/>
    <w:rsid w:val="12D87123"/>
    <w:rsid w:val="12EE0B95"/>
    <w:rsid w:val="133E30C3"/>
    <w:rsid w:val="13647BCC"/>
    <w:rsid w:val="137B1C9D"/>
    <w:rsid w:val="13AD2F1C"/>
    <w:rsid w:val="13BF412B"/>
    <w:rsid w:val="13CC724E"/>
    <w:rsid w:val="142610BD"/>
    <w:rsid w:val="144494EB"/>
    <w:rsid w:val="144CB79B"/>
    <w:rsid w:val="14A69370"/>
    <w:rsid w:val="14B5BF59"/>
    <w:rsid w:val="14E5C845"/>
    <w:rsid w:val="150D8F8C"/>
    <w:rsid w:val="15132AF1"/>
    <w:rsid w:val="1526B756"/>
    <w:rsid w:val="1559393A"/>
    <w:rsid w:val="15E2AFCD"/>
    <w:rsid w:val="164AA946"/>
    <w:rsid w:val="16BC70EF"/>
    <w:rsid w:val="16C38D38"/>
    <w:rsid w:val="16CA2248"/>
    <w:rsid w:val="16F96AB3"/>
    <w:rsid w:val="16FC6278"/>
    <w:rsid w:val="172E3EC1"/>
    <w:rsid w:val="17536C51"/>
    <w:rsid w:val="1775E009"/>
    <w:rsid w:val="17824BE9"/>
    <w:rsid w:val="17B7E94A"/>
    <w:rsid w:val="17BA1D9A"/>
    <w:rsid w:val="17C9F850"/>
    <w:rsid w:val="17CA3EE4"/>
    <w:rsid w:val="18200401"/>
    <w:rsid w:val="18290E9C"/>
    <w:rsid w:val="1849F30E"/>
    <w:rsid w:val="1850E082"/>
    <w:rsid w:val="186EFFCC"/>
    <w:rsid w:val="18D35795"/>
    <w:rsid w:val="18F1A229"/>
    <w:rsid w:val="18FBA0CA"/>
    <w:rsid w:val="190B3E26"/>
    <w:rsid w:val="190F9575"/>
    <w:rsid w:val="1929CBCC"/>
    <w:rsid w:val="1954FB97"/>
    <w:rsid w:val="19A46E81"/>
    <w:rsid w:val="19B21CDB"/>
    <w:rsid w:val="19C7942C"/>
    <w:rsid w:val="19E19FD3"/>
    <w:rsid w:val="1A0921C3"/>
    <w:rsid w:val="1A236109"/>
    <w:rsid w:val="1A312A2F"/>
    <w:rsid w:val="1A39523A"/>
    <w:rsid w:val="1A5BCB69"/>
    <w:rsid w:val="1A6A55F7"/>
    <w:rsid w:val="1ABB5AD3"/>
    <w:rsid w:val="1B3C0F29"/>
    <w:rsid w:val="1B487D5C"/>
    <w:rsid w:val="1B53ABFE"/>
    <w:rsid w:val="1B88385F"/>
    <w:rsid w:val="1B89970D"/>
    <w:rsid w:val="1BD8504B"/>
    <w:rsid w:val="1BE6BCB1"/>
    <w:rsid w:val="1BF55FD1"/>
    <w:rsid w:val="1BF63412"/>
    <w:rsid w:val="1C054463"/>
    <w:rsid w:val="1C33F027"/>
    <w:rsid w:val="1C361797"/>
    <w:rsid w:val="1C36A5E8"/>
    <w:rsid w:val="1C539928"/>
    <w:rsid w:val="1C71E291"/>
    <w:rsid w:val="1C8C0F9F"/>
    <w:rsid w:val="1CA72758"/>
    <w:rsid w:val="1CE58606"/>
    <w:rsid w:val="1CFE279C"/>
    <w:rsid w:val="1D019106"/>
    <w:rsid w:val="1D15CE55"/>
    <w:rsid w:val="1D33221B"/>
    <w:rsid w:val="1D395D6C"/>
    <w:rsid w:val="1D596D35"/>
    <w:rsid w:val="1D8CC22D"/>
    <w:rsid w:val="1D9B3F6E"/>
    <w:rsid w:val="1DBBBADD"/>
    <w:rsid w:val="1DF75E55"/>
    <w:rsid w:val="1E0E4553"/>
    <w:rsid w:val="1E1E9981"/>
    <w:rsid w:val="1E6A0267"/>
    <w:rsid w:val="1E7E3798"/>
    <w:rsid w:val="1EB77BC7"/>
    <w:rsid w:val="1EBBDE7C"/>
    <w:rsid w:val="1EBC3DBD"/>
    <w:rsid w:val="1EFDB383"/>
    <w:rsid w:val="1F16CBE0"/>
    <w:rsid w:val="1F24F19D"/>
    <w:rsid w:val="1F4E4AD8"/>
    <w:rsid w:val="1F627A72"/>
    <w:rsid w:val="1F869F50"/>
    <w:rsid w:val="1F91E090"/>
    <w:rsid w:val="1FA44134"/>
    <w:rsid w:val="1FBA545D"/>
    <w:rsid w:val="1FBD090B"/>
    <w:rsid w:val="1FCF463E"/>
    <w:rsid w:val="201CE253"/>
    <w:rsid w:val="2061C766"/>
    <w:rsid w:val="2072ECF6"/>
    <w:rsid w:val="207D5CAD"/>
    <w:rsid w:val="20B3ECC9"/>
    <w:rsid w:val="20B5588D"/>
    <w:rsid w:val="20D89B7B"/>
    <w:rsid w:val="20DB8B59"/>
    <w:rsid w:val="21506E91"/>
    <w:rsid w:val="21527D8B"/>
    <w:rsid w:val="21B0E455"/>
    <w:rsid w:val="21BF0968"/>
    <w:rsid w:val="2209C072"/>
    <w:rsid w:val="223A8A3E"/>
    <w:rsid w:val="2241E136"/>
    <w:rsid w:val="2262B052"/>
    <w:rsid w:val="22952874"/>
    <w:rsid w:val="22D34668"/>
    <w:rsid w:val="23206C94"/>
    <w:rsid w:val="2368957D"/>
    <w:rsid w:val="236E4121"/>
    <w:rsid w:val="237A18E4"/>
    <w:rsid w:val="23A457F8"/>
    <w:rsid w:val="24075D7F"/>
    <w:rsid w:val="240CC2ED"/>
    <w:rsid w:val="2438FCB0"/>
    <w:rsid w:val="243E4943"/>
    <w:rsid w:val="256FE512"/>
    <w:rsid w:val="2589C7F4"/>
    <w:rsid w:val="2589E0F2"/>
    <w:rsid w:val="26102FD0"/>
    <w:rsid w:val="26525B10"/>
    <w:rsid w:val="265F2A79"/>
    <w:rsid w:val="268B9DDE"/>
    <w:rsid w:val="26A1B2B0"/>
    <w:rsid w:val="26C972C3"/>
    <w:rsid w:val="26CAA52F"/>
    <w:rsid w:val="26CACDE0"/>
    <w:rsid w:val="26CCDE64"/>
    <w:rsid w:val="26D7EAB9"/>
    <w:rsid w:val="27161BE8"/>
    <w:rsid w:val="2740CCF0"/>
    <w:rsid w:val="275F1C6F"/>
    <w:rsid w:val="27753AA7"/>
    <w:rsid w:val="277E50B7"/>
    <w:rsid w:val="27910C5A"/>
    <w:rsid w:val="27C79A34"/>
    <w:rsid w:val="27D5EA32"/>
    <w:rsid w:val="2820B67C"/>
    <w:rsid w:val="2824B4A8"/>
    <w:rsid w:val="288E2C38"/>
    <w:rsid w:val="28B8B33E"/>
    <w:rsid w:val="28DD6A7F"/>
    <w:rsid w:val="28E0D5E6"/>
    <w:rsid w:val="28FBD2BC"/>
    <w:rsid w:val="293E2668"/>
    <w:rsid w:val="29475E2E"/>
    <w:rsid w:val="296D68D4"/>
    <w:rsid w:val="29771BD6"/>
    <w:rsid w:val="2994C0C2"/>
    <w:rsid w:val="29BA63CE"/>
    <w:rsid w:val="29D40A6D"/>
    <w:rsid w:val="2A2986F0"/>
    <w:rsid w:val="2A349A5C"/>
    <w:rsid w:val="2A690A8D"/>
    <w:rsid w:val="2A774380"/>
    <w:rsid w:val="2A77BEA6"/>
    <w:rsid w:val="2A7E7584"/>
    <w:rsid w:val="2AC0E471"/>
    <w:rsid w:val="2B0E703A"/>
    <w:rsid w:val="2B59F3B4"/>
    <w:rsid w:val="2B5AB2C8"/>
    <w:rsid w:val="2B5FA306"/>
    <w:rsid w:val="2B66EDE5"/>
    <w:rsid w:val="2BAFC068"/>
    <w:rsid w:val="2BD6D167"/>
    <w:rsid w:val="2BEDEE30"/>
    <w:rsid w:val="2BF3A63E"/>
    <w:rsid w:val="2BFDC15C"/>
    <w:rsid w:val="2C23246F"/>
    <w:rsid w:val="2C265BC6"/>
    <w:rsid w:val="2C5079F3"/>
    <w:rsid w:val="2C741F8E"/>
    <w:rsid w:val="2C93E715"/>
    <w:rsid w:val="2CAA775B"/>
    <w:rsid w:val="2CC585C7"/>
    <w:rsid w:val="2CCF2D08"/>
    <w:rsid w:val="2D09A3BA"/>
    <w:rsid w:val="2D959AAB"/>
    <w:rsid w:val="2DAC5D69"/>
    <w:rsid w:val="2DBE633C"/>
    <w:rsid w:val="2DFF21A4"/>
    <w:rsid w:val="2E32FF4D"/>
    <w:rsid w:val="2E3C4567"/>
    <w:rsid w:val="2EAF6CD0"/>
    <w:rsid w:val="2EB75254"/>
    <w:rsid w:val="2EBE7A26"/>
    <w:rsid w:val="2ED83677"/>
    <w:rsid w:val="2EE09ADB"/>
    <w:rsid w:val="2F455C89"/>
    <w:rsid w:val="2F66BC0D"/>
    <w:rsid w:val="2F702F10"/>
    <w:rsid w:val="2F9F4CF3"/>
    <w:rsid w:val="2FC0A470"/>
    <w:rsid w:val="300498D8"/>
    <w:rsid w:val="30230CC7"/>
    <w:rsid w:val="3029FBF7"/>
    <w:rsid w:val="30436E6A"/>
    <w:rsid w:val="30597709"/>
    <w:rsid w:val="3076DAC1"/>
    <w:rsid w:val="30782D97"/>
    <w:rsid w:val="308324C4"/>
    <w:rsid w:val="30CAFC0F"/>
    <w:rsid w:val="30E1EB40"/>
    <w:rsid w:val="312E9808"/>
    <w:rsid w:val="314B8520"/>
    <w:rsid w:val="31522D01"/>
    <w:rsid w:val="31895322"/>
    <w:rsid w:val="31E5CBD1"/>
    <w:rsid w:val="329F4948"/>
    <w:rsid w:val="32B4003E"/>
    <w:rsid w:val="32D37718"/>
    <w:rsid w:val="32E3AC7A"/>
    <w:rsid w:val="33082471"/>
    <w:rsid w:val="3331E584"/>
    <w:rsid w:val="333C45E3"/>
    <w:rsid w:val="33840E56"/>
    <w:rsid w:val="33D52A37"/>
    <w:rsid w:val="33F6E763"/>
    <w:rsid w:val="33FBABF0"/>
    <w:rsid w:val="340238D0"/>
    <w:rsid w:val="342A3190"/>
    <w:rsid w:val="34783CF4"/>
    <w:rsid w:val="348BABDF"/>
    <w:rsid w:val="348BE46D"/>
    <w:rsid w:val="349E801B"/>
    <w:rsid w:val="349F5930"/>
    <w:rsid w:val="34A895B9"/>
    <w:rsid w:val="34B0DFA4"/>
    <w:rsid w:val="34D572C5"/>
    <w:rsid w:val="3522AF9B"/>
    <w:rsid w:val="35270DB3"/>
    <w:rsid w:val="352ADF7D"/>
    <w:rsid w:val="355904E1"/>
    <w:rsid w:val="3572AAA7"/>
    <w:rsid w:val="359B9D8B"/>
    <w:rsid w:val="35AE2009"/>
    <w:rsid w:val="35B26FC5"/>
    <w:rsid w:val="35E0E156"/>
    <w:rsid w:val="35EF26F5"/>
    <w:rsid w:val="35F6D7BE"/>
    <w:rsid w:val="3623C463"/>
    <w:rsid w:val="3634E5F2"/>
    <w:rsid w:val="36428B4A"/>
    <w:rsid w:val="365E46F5"/>
    <w:rsid w:val="367ADF70"/>
    <w:rsid w:val="368D6E18"/>
    <w:rsid w:val="36E7DE04"/>
    <w:rsid w:val="36FF8533"/>
    <w:rsid w:val="371A106E"/>
    <w:rsid w:val="371D15A3"/>
    <w:rsid w:val="37CF319D"/>
    <w:rsid w:val="37D0419B"/>
    <w:rsid w:val="38349148"/>
    <w:rsid w:val="38560347"/>
    <w:rsid w:val="39436160"/>
    <w:rsid w:val="3973BFAB"/>
    <w:rsid w:val="39A2522C"/>
    <w:rsid w:val="39B33295"/>
    <w:rsid w:val="39B89145"/>
    <w:rsid w:val="39D9899A"/>
    <w:rsid w:val="39DD92DE"/>
    <w:rsid w:val="39E7ED9D"/>
    <w:rsid w:val="39FB410F"/>
    <w:rsid w:val="3A046153"/>
    <w:rsid w:val="3A3EAB7F"/>
    <w:rsid w:val="3A415DF8"/>
    <w:rsid w:val="3A676B43"/>
    <w:rsid w:val="3B2F9D1D"/>
    <w:rsid w:val="3B39BEA5"/>
    <w:rsid w:val="3B7AD8FD"/>
    <w:rsid w:val="3BBF1AA1"/>
    <w:rsid w:val="3BCC0E95"/>
    <w:rsid w:val="3BE8B6ED"/>
    <w:rsid w:val="3BF6B7FE"/>
    <w:rsid w:val="3C04F8BB"/>
    <w:rsid w:val="3C168713"/>
    <w:rsid w:val="3C19D6CD"/>
    <w:rsid w:val="3C299D4B"/>
    <w:rsid w:val="3C7CC68B"/>
    <w:rsid w:val="3C92F569"/>
    <w:rsid w:val="3CC54038"/>
    <w:rsid w:val="3CF80A64"/>
    <w:rsid w:val="3D4CDE99"/>
    <w:rsid w:val="3D4D2E3F"/>
    <w:rsid w:val="3D6DC7E6"/>
    <w:rsid w:val="3D7565CF"/>
    <w:rsid w:val="3D906817"/>
    <w:rsid w:val="3DB32FF6"/>
    <w:rsid w:val="3DB505A0"/>
    <w:rsid w:val="3DD9E2B8"/>
    <w:rsid w:val="3DE17E30"/>
    <w:rsid w:val="3DECDE14"/>
    <w:rsid w:val="3DF4148B"/>
    <w:rsid w:val="3E069636"/>
    <w:rsid w:val="3E2958D8"/>
    <w:rsid w:val="3E299532"/>
    <w:rsid w:val="3E8E428A"/>
    <w:rsid w:val="3F3A3888"/>
    <w:rsid w:val="3F69A205"/>
    <w:rsid w:val="3F6F5D44"/>
    <w:rsid w:val="3F8C2D75"/>
    <w:rsid w:val="3F927AF6"/>
    <w:rsid w:val="3F966288"/>
    <w:rsid w:val="3FA6600D"/>
    <w:rsid w:val="3FEE632C"/>
    <w:rsid w:val="4073C29D"/>
    <w:rsid w:val="4080587E"/>
    <w:rsid w:val="40815EB5"/>
    <w:rsid w:val="40825FF0"/>
    <w:rsid w:val="4086C62E"/>
    <w:rsid w:val="40DB0901"/>
    <w:rsid w:val="41739731"/>
    <w:rsid w:val="42068589"/>
    <w:rsid w:val="42685438"/>
    <w:rsid w:val="426A77F4"/>
    <w:rsid w:val="428F267E"/>
    <w:rsid w:val="42A031AC"/>
    <w:rsid w:val="42A75DD0"/>
    <w:rsid w:val="42B1C317"/>
    <w:rsid w:val="42BF2C6D"/>
    <w:rsid w:val="42D4B49C"/>
    <w:rsid w:val="43136B3B"/>
    <w:rsid w:val="4333A824"/>
    <w:rsid w:val="43CFA729"/>
    <w:rsid w:val="43DCBACF"/>
    <w:rsid w:val="4414C76C"/>
    <w:rsid w:val="4417CCE6"/>
    <w:rsid w:val="441E04AE"/>
    <w:rsid w:val="444F99EB"/>
    <w:rsid w:val="4455991D"/>
    <w:rsid w:val="44613007"/>
    <w:rsid w:val="446E413D"/>
    <w:rsid w:val="449CCBC6"/>
    <w:rsid w:val="44B86619"/>
    <w:rsid w:val="44C8EED5"/>
    <w:rsid w:val="45021E97"/>
    <w:rsid w:val="452ACB4F"/>
    <w:rsid w:val="454B048C"/>
    <w:rsid w:val="45607AEF"/>
    <w:rsid w:val="45CB7A54"/>
    <w:rsid w:val="460697E9"/>
    <w:rsid w:val="46782822"/>
    <w:rsid w:val="46A1EF4D"/>
    <w:rsid w:val="46ABB638"/>
    <w:rsid w:val="46C3057A"/>
    <w:rsid w:val="47163E79"/>
    <w:rsid w:val="471C4A33"/>
    <w:rsid w:val="47232F3D"/>
    <w:rsid w:val="47AFF890"/>
    <w:rsid w:val="47BF12D0"/>
    <w:rsid w:val="47C1CC3C"/>
    <w:rsid w:val="47D9ADEB"/>
    <w:rsid w:val="47F9BD0B"/>
    <w:rsid w:val="48438226"/>
    <w:rsid w:val="488A0B61"/>
    <w:rsid w:val="4893AD87"/>
    <w:rsid w:val="48BBCA39"/>
    <w:rsid w:val="48EE60A9"/>
    <w:rsid w:val="48F866D3"/>
    <w:rsid w:val="4911889E"/>
    <w:rsid w:val="49424DAE"/>
    <w:rsid w:val="4988E04F"/>
    <w:rsid w:val="49EBB34D"/>
    <w:rsid w:val="4A049DA0"/>
    <w:rsid w:val="4A2C3BEB"/>
    <w:rsid w:val="4ABA5BCC"/>
    <w:rsid w:val="4ADDA145"/>
    <w:rsid w:val="4B5D7E38"/>
    <w:rsid w:val="4B97AEA0"/>
    <w:rsid w:val="4BE2503F"/>
    <w:rsid w:val="4BE3695C"/>
    <w:rsid w:val="4BF455B5"/>
    <w:rsid w:val="4C22F4C1"/>
    <w:rsid w:val="4C316C01"/>
    <w:rsid w:val="4C8714FD"/>
    <w:rsid w:val="4CD9E127"/>
    <w:rsid w:val="4CED9DD6"/>
    <w:rsid w:val="4CF9F419"/>
    <w:rsid w:val="4CFCF93B"/>
    <w:rsid w:val="4D132D21"/>
    <w:rsid w:val="4D2A9565"/>
    <w:rsid w:val="4D6B2D16"/>
    <w:rsid w:val="4DD9CB19"/>
    <w:rsid w:val="4E1CD0FF"/>
    <w:rsid w:val="4E21F6CE"/>
    <w:rsid w:val="4E3611B1"/>
    <w:rsid w:val="4E6F6A4E"/>
    <w:rsid w:val="4EE70A78"/>
    <w:rsid w:val="4F1018FD"/>
    <w:rsid w:val="4F20B5E8"/>
    <w:rsid w:val="4F52C7B5"/>
    <w:rsid w:val="4F6E2BD8"/>
    <w:rsid w:val="4F9F2E30"/>
    <w:rsid w:val="4FA792A6"/>
    <w:rsid w:val="4FCF7FCE"/>
    <w:rsid w:val="507CDB06"/>
    <w:rsid w:val="5082A8DD"/>
    <w:rsid w:val="50A123BD"/>
    <w:rsid w:val="50B9E1CE"/>
    <w:rsid w:val="50BB17C1"/>
    <w:rsid w:val="512B4760"/>
    <w:rsid w:val="5133B5A9"/>
    <w:rsid w:val="5139D5BB"/>
    <w:rsid w:val="51403E4E"/>
    <w:rsid w:val="516BA84D"/>
    <w:rsid w:val="51811D93"/>
    <w:rsid w:val="5191B3D4"/>
    <w:rsid w:val="51AB6A34"/>
    <w:rsid w:val="51BC0644"/>
    <w:rsid w:val="51C42A4B"/>
    <w:rsid w:val="51D3BE7A"/>
    <w:rsid w:val="51DFB447"/>
    <w:rsid w:val="52083E82"/>
    <w:rsid w:val="521ACB62"/>
    <w:rsid w:val="52218F20"/>
    <w:rsid w:val="524252D2"/>
    <w:rsid w:val="527C0EC7"/>
    <w:rsid w:val="52A2D2F8"/>
    <w:rsid w:val="52B68D0C"/>
    <w:rsid w:val="52DE52B8"/>
    <w:rsid w:val="52F8CEB5"/>
    <w:rsid w:val="5357BF69"/>
    <w:rsid w:val="5378C21F"/>
    <w:rsid w:val="53F09D31"/>
    <w:rsid w:val="54368C6D"/>
    <w:rsid w:val="5453BB60"/>
    <w:rsid w:val="54A37AEA"/>
    <w:rsid w:val="54CB50A5"/>
    <w:rsid w:val="54CFEB59"/>
    <w:rsid w:val="54F1101A"/>
    <w:rsid w:val="54FFB040"/>
    <w:rsid w:val="551F7F53"/>
    <w:rsid w:val="554DDDB7"/>
    <w:rsid w:val="555DBFDB"/>
    <w:rsid w:val="556EF0AF"/>
    <w:rsid w:val="55C33903"/>
    <w:rsid w:val="55E69D0C"/>
    <w:rsid w:val="56375A93"/>
    <w:rsid w:val="5637EA83"/>
    <w:rsid w:val="56812B4F"/>
    <w:rsid w:val="568D8022"/>
    <w:rsid w:val="56CD9C7D"/>
    <w:rsid w:val="56F754C8"/>
    <w:rsid w:val="56FC381D"/>
    <w:rsid w:val="57534FCA"/>
    <w:rsid w:val="5764076F"/>
    <w:rsid w:val="57C239D1"/>
    <w:rsid w:val="581A8844"/>
    <w:rsid w:val="58221B54"/>
    <w:rsid w:val="582F5B4C"/>
    <w:rsid w:val="583D4B07"/>
    <w:rsid w:val="58464D77"/>
    <w:rsid w:val="584F5A44"/>
    <w:rsid w:val="5871B842"/>
    <w:rsid w:val="5878E52E"/>
    <w:rsid w:val="5879D52E"/>
    <w:rsid w:val="58BCB122"/>
    <w:rsid w:val="58CF1498"/>
    <w:rsid w:val="58E03928"/>
    <w:rsid w:val="5902C082"/>
    <w:rsid w:val="591FF891"/>
    <w:rsid w:val="592AC04D"/>
    <w:rsid w:val="592CEF1B"/>
    <w:rsid w:val="595DD7A0"/>
    <w:rsid w:val="59A2C1FE"/>
    <w:rsid w:val="59C3101E"/>
    <w:rsid w:val="59C670F8"/>
    <w:rsid w:val="59DAA094"/>
    <w:rsid w:val="59DCA73B"/>
    <w:rsid w:val="59FF1134"/>
    <w:rsid w:val="5A133695"/>
    <w:rsid w:val="5A201848"/>
    <w:rsid w:val="5A3259F8"/>
    <w:rsid w:val="5A570FCD"/>
    <w:rsid w:val="5A5876A8"/>
    <w:rsid w:val="5A5D6D54"/>
    <w:rsid w:val="5A666ABF"/>
    <w:rsid w:val="5A7DDD84"/>
    <w:rsid w:val="5ACE9065"/>
    <w:rsid w:val="5AFA4ED0"/>
    <w:rsid w:val="5B31340A"/>
    <w:rsid w:val="5BB3ADCC"/>
    <w:rsid w:val="5C28C7DA"/>
    <w:rsid w:val="5C3AD809"/>
    <w:rsid w:val="5C79B578"/>
    <w:rsid w:val="5CA51966"/>
    <w:rsid w:val="5CD3B3F4"/>
    <w:rsid w:val="5D183D02"/>
    <w:rsid w:val="5D2373FC"/>
    <w:rsid w:val="5D2431E6"/>
    <w:rsid w:val="5D2CC7AC"/>
    <w:rsid w:val="5D3C65E3"/>
    <w:rsid w:val="5D4B80FB"/>
    <w:rsid w:val="5D6E883F"/>
    <w:rsid w:val="5D77E5C7"/>
    <w:rsid w:val="5D7E739A"/>
    <w:rsid w:val="5D80360A"/>
    <w:rsid w:val="5DF15DA5"/>
    <w:rsid w:val="5DF41400"/>
    <w:rsid w:val="5EB78AF9"/>
    <w:rsid w:val="5EC99F71"/>
    <w:rsid w:val="5ED7D7AD"/>
    <w:rsid w:val="5EE2141D"/>
    <w:rsid w:val="5F1C6433"/>
    <w:rsid w:val="5F675D6C"/>
    <w:rsid w:val="5F9299B8"/>
    <w:rsid w:val="5F968051"/>
    <w:rsid w:val="5FBFEB93"/>
    <w:rsid w:val="5FCA8F44"/>
    <w:rsid w:val="5FFC2355"/>
    <w:rsid w:val="607852C4"/>
    <w:rsid w:val="608B1969"/>
    <w:rsid w:val="60E302F5"/>
    <w:rsid w:val="60EF448E"/>
    <w:rsid w:val="6101ED95"/>
    <w:rsid w:val="614CAC39"/>
    <w:rsid w:val="61886F96"/>
    <w:rsid w:val="618A5E59"/>
    <w:rsid w:val="618CEE63"/>
    <w:rsid w:val="61919B00"/>
    <w:rsid w:val="61F808E7"/>
    <w:rsid w:val="624A5734"/>
    <w:rsid w:val="625A0C95"/>
    <w:rsid w:val="625B5073"/>
    <w:rsid w:val="627D0993"/>
    <w:rsid w:val="62A14F8E"/>
    <w:rsid w:val="62E1C10D"/>
    <w:rsid w:val="62F01688"/>
    <w:rsid w:val="6342B59C"/>
    <w:rsid w:val="636691A1"/>
    <w:rsid w:val="63A8C8DA"/>
    <w:rsid w:val="63C95E96"/>
    <w:rsid w:val="6411A693"/>
    <w:rsid w:val="642F5571"/>
    <w:rsid w:val="6450EB5D"/>
    <w:rsid w:val="64738D90"/>
    <w:rsid w:val="64762F0B"/>
    <w:rsid w:val="64DB9C5F"/>
    <w:rsid w:val="64E54AB8"/>
    <w:rsid w:val="6574BCA5"/>
    <w:rsid w:val="65CB19D5"/>
    <w:rsid w:val="65F58C97"/>
    <w:rsid w:val="66227A6C"/>
    <w:rsid w:val="6634E4B4"/>
    <w:rsid w:val="66424507"/>
    <w:rsid w:val="664D6F46"/>
    <w:rsid w:val="6658875F"/>
    <w:rsid w:val="6690B712"/>
    <w:rsid w:val="66B0022B"/>
    <w:rsid w:val="66C22677"/>
    <w:rsid w:val="66C6D1E8"/>
    <w:rsid w:val="670E9AE9"/>
    <w:rsid w:val="676401C9"/>
    <w:rsid w:val="6765BE50"/>
    <w:rsid w:val="6826B4E3"/>
    <w:rsid w:val="682FC443"/>
    <w:rsid w:val="6847CEAC"/>
    <w:rsid w:val="688C0F34"/>
    <w:rsid w:val="68A88CB0"/>
    <w:rsid w:val="68F082E7"/>
    <w:rsid w:val="6911726E"/>
    <w:rsid w:val="691E0341"/>
    <w:rsid w:val="691E84FE"/>
    <w:rsid w:val="6922587D"/>
    <w:rsid w:val="6934EF4F"/>
    <w:rsid w:val="693DF301"/>
    <w:rsid w:val="695EE4F9"/>
    <w:rsid w:val="696EF326"/>
    <w:rsid w:val="697C9C08"/>
    <w:rsid w:val="699C3CB8"/>
    <w:rsid w:val="69ECD96B"/>
    <w:rsid w:val="6A096097"/>
    <w:rsid w:val="6A4BD851"/>
    <w:rsid w:val="6A813D79"/>
    <w:rsid w:val="6A8853A8"/>
    <w:rsid w:val="6A9817BF"/>
    <w:rsid w:val="6B0377CB"/>
    <w:rsid w:val="6B07600D"/>
    <w:rsid w:val="6B2C59CB"/>
    <w:rsid w:val="6B66C375"/>
    <w:rsid w:val="6B9C5C24"/>
    <w:rsid w:val="6BC61AC6"/>
    <w:rsid w:val="6C4A6BC4"/>
    <w:rsid w:val="6CABBD0F"/>
    <w:rsid w:val="6CC9D2EB"/>
    <w:rsid w:val="6CCEF89F"/>
    <w:rsid w:val="6CDC6446"/>
    <w:rsid w:val="6CE8D594"/>
    <w:rsid w:val="6D233C44"/>
    <w:rsid w:val="6D25F376"/>
    <w:rsid w:val="6D52AC1E"/>
    <w:rsid w:val="6D8EE897"/>
    <w:rsid w:val="6DC2AD0D"/>
    <w:rsid w:val="6DC98447"/>
    <w:rsid w:val="6E2174C6"/>
    <w:rsid w:val="6E642741"/>
    <w:rsid w:val="6EDD2D3A"/>
    <w:rsid w:val="6EE8D562"/>
    <w:rsid w:val="6EEFDDD6"/>
    <w:rsid w:val="6EF713F0"/>
    <w:rsid w:val="6F0DDFB1"/>
    <w:rsid w:val="6F0FBB18"/>
    <w:rsid w:val="6F1A0F4B"/>
    <w:rsid w:val="6F1AEFCE"/>
    <w:rsid w:val="6F30C6E6"/>
    <w:rsid w:val="6F63EECD"/>
    <w:rsid w:val="6F739D1A"/>
    <w:rsid w:val="6F89556A"/>
    <w:rsid w:val="6FA3309C"/>
    <w:rsid w:val="6FA535B6"/>
    <w:rsid w:val="6FA837C1"/>
    <w:rsid w:val="6FDA3505"/>
    <w:rsid w:val="6FE27C39"/>
    <w:rsid w:val="6FE2D097"/>
    <w:rsid w:val="7015ED9B"/>
    <w:rsid w:val="701EE837"/>
    <w:rsid w:val="703029E8"/>
    <w:rsid w:val="7030A97A"/>
    <w:rsid w:val="70458B33"/>
    <w:rsid w:val="705E7F17"/>
    <w:rsid w:val="70602B2C"/>
    <w:rsid w:val="70820C7E"/>
    <w:rsid w:val="70E6CC92"/>
    <w:rsid w:val="71175BB4"/>
    <w:rsid w:val="71406B8D"/>
    <w:rsid w:val="714DD699"/>
    <w:rsid w:val="7196AB70"/>
    <w:rsid w:val="71970581"/>
    <w:rsid w:val="71AEA19B"/>
    <w:rsid w:val="71B1887C"/>
    <w:rsid w:val="71B38B66"/>
    <w:rsid w:val="721914D4"/>
    <w:rsid w:val="72597CF4"/>
    <w:rsid w:val="726E23EB"/>
    <w:rsid w:val="72806384"/>
    <w:rsid w:val="7282758B"/>
    <w:rsid w:val="728E55D1"/>
    <w:rsid w:val="72AB035E"/>
    <w:rsid w:val="72AD0923"/>
    <w:rsid w:val="731095FE"/>
    <w:rsid w:val="732F3621"/>
    <w:rsid w:val="733B7F74"/>
    <w:rsid w:val="7342A75C"/>
    <w:rsid w:val="735876A9"/>
    <w:rsid w:val="737FCF34"/>
    <w:rsid w:val="73A9088C"/>
    <w:rsid w:val="73D56B85"/>
    <w:rsid w:val="74240E86"/>
    <w:rsid w:val="743A1764"/>
    <w:rsid w:val="746453EC"/>
    <w:rsid w:val="74672938"/>
    <w:rsid w:val="7485A4B0"/>
    <w:rsid w:val="748FEBF3"/>
    <w:rsid w:val="74CF5DA8"/>
    <w:rsid w:val="74DB7235"/>
    <w:rsid w:val="752B43FB"/>
    <w:rsid w:val="75701E1F"/>
    <w:rsid w:val="757D1777"/>
    <w:rsid w:val="75831445"/>
    <w:rsid w:val="75B94537"/>
    <w:rsid w:val="75D99EEA"/>
    <w:rsid w:val="7619CC0B"/>
    <w:rsid w:val="761C8403"/>
    <w:rsid w:val="7620B809"/>
    <w:rsid w:val="762494D2"/>
    <w:rsid w:val="764C11E8"/>
    <w:rsid w:val="76787612"/>
    <w:rsid w:val="767D61FF"/>
    <w:rsid w:val="769686E6"/>
    <w:rsid w:val="76A1BADF"/>
    <w:rsid w:val="76C48AA0"/>
    <w:rsid w:val="76C4B00D"/>
    <w:rsid w:val="76D57272"/>
    <w:rsid w:val="772E022B"/>
    <w:rsid w:val="774B731B"/>
    <w:rsid w:val="77880C9F"/>
    <w:rsid w:val="778CA935"/>
    <w:rsid w:val="77D37471"/>
    <w:rsid w:val="77EA9C8D"/>
    <w:rsid w:val="7811BAB3"/>
    <w:rsid w:val="782CC5F1"/>
    <w:rsid w:val="78631925"/>
    <w:rsid w:val="788F5CDC"/>
    <w:rsid w:val="78C6B90A"/>
    <w:rsid w:val="78CDEC63"/>
    <w:rsid w:val="78DD0006"/>
    <w:rsid w:val="78FFBE52"/>
    <w:rsid w:val="79020E0B"/>
    <w:rsid w:val="790AF10A"/>
    <w:rsid w:val="7912C31C"/>
    <w:rsid w:val="792ECA62"/>
    <w:rsid w:val="79370C85"/>
    <w:rsid w:val="7944C30F"/>
    <w:rsid w:val="79522CA3"/>
    <w:rsid w:val="796CE14F"/>
    <w:rsid w:val="79CC928F"/>
    <w:rsid w:val="7A09E527"/>
    <w:rsid w:val="7A46968E"/>
    <w:rsid w:val="7A7D2A09"/>
    <w:rsid w:val="7A96DACE"/>
    <w:rsid w:val="7AA6D0C4"/>
    <w:rsid w:val="7AABE53D"/>
    <w:rsid w:val="7AECB349"/>
    <w:rsid w:val="7AF57CED"/>
    <w:rsid w:val="7B1A7886"/>
    <w:rsid w:val="7B25E682"/>
    <w:rsid w:val="7B2C3F41"/>
    <w:rsid w:val="7B49F6C7"/>
    <w:rsid w:val="7B51A796"/>
    <w:rsid w:val="7BA6F56F"/>
    <w:rsid w:val="7BDCC98F"/>
    <w:rsid w:val="7BF71E70"/>
    <w:rsid w:val="7C282563"/>
    <w:rsid w:val="7C3B74CB"/>
    <w:rsid w:val="7C44BFD9"/>
    <w:rsid w:val="7CA004E6"/>
    <w:rsid w:val="7CAF48E7"/>
    <w:rsid w:val="7CB2785B"/>
    <w:rsid w:val="7CB4A542"/>
    <w:rsid w:val="7CC2B01C"/>
    <w:rsid w:val="7CF2F3E9"/>
    <w:rsid w:val="7D07FE32"/>
    <w:rsid w:val="7D105C95"/>
    <w:rsid w:val="7D370769"/>
    <w:rsid w:val="7D61C232"/>
    <w:rsid w:val="7D77A8DC"/>
    <w:rsid w:val="7D8828A6"/>
    <w:rsid w:val="7DA6D7CB"/>
    <w:rsid w:val="7DAE92B6"/>
    <w:rsid w:val="7DB62E2B"/>
    <w:rsid w:val="7DE0BF4A"/>
    <w:rsid w:val="7DE50F97"/>
    <w:rsid w:val="7DEE0ED6"/>
    <w:rsid w:val="7E4C8B43"/>
    <w:rsid w:val="7E53A591"/>
    <w:rsid w:val="7E6E2EF0"/>
    <w:rsid w:val="7E7E74CF"/>
    <w:rsid w:val="7E85EDB9"/>
    <w:rsid w:val="7F029BE6"/>
    <w:rsid w:val="7F03DBB0"/>
    <w:rsid w:val="7F0BDD1F"/>
    <w:rsid w:val="7F89827E"/>
    <w:rsid w:val="7F8C0B7A"/>
    <w:rsid w:val="7F8F6272"/>
    <w:rsid w:val="7F92EF3F"/>
    <w:rsid w:val="7FE23334"/>
    <w:rsid w:val="7FE8EE3A"/>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C73E1"/>
  <w15:chartTrackingRefBased/>
  <w15:docId w15:val="{2A40AE76-F5BE-4EC6-994E-5CFB889AD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51D"/>
    <w:pPr>
      <w:spacing w:after="0" w:line="240" w:lineRule="auto"/>
    </w:pPr>
    <w:rPr>
      <w:rFonts w:ascii="Arial" w:eastAsia="Arial" w:hAnsi="Arial" w:cs="Arial"/>
      <w:color w:val="222222"/>
      <w:kern w:val="0"/>
      <w:sz w:val="21"/>
      <w:szCs w:val="21"/>
      <w:lang w:eastAsia="de-DE"/>
      <w14:ligatures w14:val="none"/>
    </w:rPr>
  </w:style>
  <w:style w:type="paragraph" w:styleId="Heading1">
    <w:name w:val="heading 1"/>
    <w:basedOn w:val="Normal"/>
    <w:next w:val="Normal"/>
    <w:link w:val="Heading1Char"/>
    <w:uiPriority w:val="9"/>
    <w:qFormat/>
    <w:rsid w:val="0008243A"/>
    <w:pPr>
      <w:keepNext/>
      <w:keepLines/>
      <w:numPr>
        <w:numId w:val="5"/>
      </w:numPr>
      <w:suppressAutoHyphens/>
      <w:spacing w:line="360" w:lineRule="exact"/>
      <w:contextualSpacing/>
      <w:outlineLvl w:val="0"/>
    </w:pPr>
    <w:rPr>
      <w:rFonts w:asciiTheme="majorHAnsi" w:eastAsiaTheme="majorEastAsia" w:hAnsiTheme="majorHAnsi" w:cstheme="majorBidi"/>
      <w:b/>
      <w:bCs/>
      <w:noProof/>
      <w:color w:val="1E2A78" w:themeColor="accent1"/>
      <w:sz w:val="32"/>
      <w:szCs w:val="32"/>
    </w:rPr>
  </w:style>
  <w:style w:type="paragraph" w:styleId="Heading2">
    <w:name w:val="heading 2"/>
    <w:basedOn w:val="Heading1"/>
    <w:next w:val="Normal"/>
    <w:link w:val="Heading2Char"/>
    <w:uiPriority w:val="9"/>
    <w:unhideWhenUsed/>
    <w:qFormat/>
    <w:rsid w:val="0008243A"/>
    <w:pPr>
      <w:numPr>
        <w:ilvl w:val="1"/>
      </w:numPr>
      <w:spacing w:line="280" w:lineRule="exact"/>
      <w:outlineLvl w:val="1"/>
    </w:pPr>
    <w:rPr>
      <w:sz w:val="24"/>
    </w:rPr>
  </w:style>
  <w:style w:type="paragraph" w:styleId="Heading3">
    <w:name w:val="heading 3"/>
    <w:basedOn w:val="Heading2"/>
    <w:next w:val="Normal"/>
    <w:link w:val="Heading3Char"/>
    <w:unhideWhenUsed/>
    <w:qFormat/>
    <w:rsid w:val="0008243A"/>
    <w:pPr>
      <w:numPr>
        <w:ilvl w:val="2"/>
      </w:numPr>
      <w:spacing w:line="240" w:lineRule="auto"/>
      <w:outlineLvl w:val="2"/>
    </w:pPr>
    <w:rPr>
      <w:color w:val="000000" w:themeColor="text1"/>
      <w:sz w:val="20"/>
      <w:szCs w:val="20"/>
    </w:rPr>
  </w:style>
  <w:style w:type="paragraph" w:styleId="Heading4">
    <w:name w:val="heading 4"/>
    <w:basedOn w:val="Normal"/>
    <w:next w:val="Normal"/>
    <w:link w:val="Heading4Char"/>
    <w:uiPriority w:val="9"/>
    <w:semiHidden/>
    <w:unhideWhenUsed/>
    <w:qFormat/>
    <w:rsid w:val="0008243A"/>
    <w:pPr>
      <w:keepNext/>
      <w:keepLines/>
      <w:numPr>
        <w:ilvl w:val="3"/>
        <w:numId w:val="5"/>
      </w:numPr>
      <w:spacing w:before="80" w:after="40"/>
      <w:outlineLvl w:val="3"/>
    </w:pPr>
    <w:rPr>
      <w:rFonts w:eastAsiaTheme="majorEastAsia" w:cstheme="majorBidi"/>
      <w:i/>
      <w:iCs/>
      <w:color w:val="161F59" w:themeColor="accent1" w:themeShade="BF"/>
    </w:rPr>
  </w:style>
  <w:style w:type="paragraph" w:styleId="Heading5">
    <w:name w:val="heading 5"/>
    <w:basedOn w:val="Normal"/>
    <w:next w:val="Normal"/>
    <w:link w:val="Heading5Char"/>
    <w:uiPriority w:val="9"/>
    <w:semiHidden/>
    <w:unhideWhenUsed/>
    <w:qFormat/>
    <w:rsid w:val="0008243A"/>
    <w:pPr>
      <w:keepNext/>
      <w:keepLines/>
      <w:numPr>
        <w:ilvl w:val="4"/>
        <w:numId w:val="5"/>
      </w:numPr>
      <w:spacing w:before="80" w:after="40"/>
      <w:outlineLvl w:val="4"/>
    </w:pPr>
    <w:rPr>
      <w:rFonts w:eastAsiaTheme="majorEastAsia" w:cstheme="majorBidi"/>
      <w:color w:val="161F59" w:themeColor="accent1" w:themeShade="BF"/>
    </w:rPr>
  </w:style>
  <w:style w:type="paragraph" w:styleId="Heading6">
    <w:name w:val="heading 6"/>
    <w:basedOn w:val="Normal"/>
    <w:next w:val="Normal"/>
    <w:link w:val="Heading6Char"/>
    <w:uiPriority w:val="9"/>
    <w:semiHidden/>
    <w:unhideWhenUsed/>
    <w:qFormat/>
    <w:rsid w:val="0008243A"/>
    <w:pPr>
      <w:keepNext/>
      <w:keepLines/>
      <w:numPr>
        <w:ilvl w:val="5"/>
        <w:numId w:val="5"/>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243A"/>
    <w:pPr>
      <w:keepNext/>
      <w:keepLines/>
      <w:numPr>
        <w:ilvl w:val="6"/>
        <w:numId w:val="5"/>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243A"/>
    <w:pPr>
      <w:keepNext/>
      <w:keepLines/>
      <w:numPr>
        <w:ilvl w:val="7"/>
        <w:numId w:val="5"/>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243A"/>
    <w:pPr>
      <w:keepNext/>
      <w:keepLines/>
      <w:numPr>
        <w:ilvl w:val="8"/>
        <w:numId w:val="5"/>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8243A"/>
    <w:rPr>
      <w:rFonts w:asciiTheme="majorHAnsi" w:eastAsiaTheme="majorEastAsia" w:hAnsiTheme="majorHAnsi" w:cstheme="majorBidi"/>
      <w:b/>
      <w:bCs/>
      <w:noProof/>
      <w:color w:val="1E2A78" w:themeColor="accent1"/>
      <w:kern w:val="0"/>
      <w:sz w:val="32"/>
      <w:szCs w:val="32"/>
      <w:lang w:eastAsia="de-DE"/>
      <w14:ligatures w14:val="none"/>
    </w:rPr>
  </w:style>
  <w:style w:type="character" w:customStyle="1" w:styleId="Heading2Char">
    <w:name w:val="Heading 2 Char"/>
    <w:basedOn w:val="DefaultParagraphFont"/>
    <w:link w:val="Heading2"/>
    <w:uiPriority w:val="9"/>
    <w:rsid w:val="0008243A"/>
    <w:rPr>
      <w:rFonts w:asciiTheme="majorHAnsi" w:eastAsiaTheme="majorEastAsia" w:hAnsiTheme="majorHAnsi" w:cstheme="majorBidi"/>
      <w:b/>
      <w:bCs/>
      <w:noProof/>
      <w:color w:val="1E2A78" w:themeColor="accent1"/>
      <w:kern w:val="0"/>
      <w:szCs w:val="32"/>
      <w:lang w:eastAsia="de-DE"/>
      <w14:ligatures w14:val="none"/>
    </w:rPr>
  </w:style>
  <w:style w:type="character" w:customStyle="1" w:styleId="Heading3Char">
    <w:name w:val="Heading 3 Char"/>
    <w:basedOn w:val="DefaultParagraphFont"/>
    <w:link w:val="Heading3"/>
    <w:rsid w:val="0008243A"/>
    <w:rPr>
      <w:rFonts w:asciiTheme="majorHAnsi" w:eastAsiaTheme="majorEastAsia" w:hAnsiTheme="majorHAnsi" w:cstheme="majorBidi"/>
      <w:b/>
      <w:bCs/>
      <w:noProof/>
      <w:color w:val="000000" w:themeColor="text1"/>
      <w:kern w:val="0"/>
      <w:sz w:val="20"/>
      <w:szCs w:val="20"/>
      <w:lang w:eastAsia="de-DE"/>
      <w14:ligatures w14:val="none"/>
    </w:rPr>
  </w:style>
  <w:style w:type="character" w:customStyle="1" w:styleId="Heading4Char">
    <w:name w:val="Heading 4 Char"/>
    <w:basedOn w:val="DefaultParagraphFont"/>
    <w:link w:val="Heading4"/>
    <w:uiPriority w:val="9"/>
    <w:semiHidden/>
    <w:rsid w:val="0008243A"/>
    <w:rPr>
      <w:rFonts w:eastAsiaTheme="majorEastAsia" w:cstheme="majorBidi"/>
      <w:i/>
      <w:iCs/>
      <w:color w:val="161F59" w:themeColor="accent1" w:themeShade="BF"/>
    </w:rPr>
  </w:style>
  <w:style w:type="character" w:customStyle="1" w:styleId="Heading5Char">
    <w:name w:val="Heading 5 Char"/>
    <w:basedOn w:val="DefaultParagraphFont"/>
    <w:link w:val="Heading5"/>
    <w:uiPriority w:val="9"/>
    <w:semiHidden/>
    <w:rsid w:val="0008243A"/>
    <w:rPr>
      <w:rFonts w:eastAsiaTheme="majorEastAsia" w:cstheme="majorBidi"/>
      <w:color w:val="161F59" w:themeColor="accent1" w:themeShade="BF"/>
    </w:rPr>
  </w:style>
  <w:style w:type="character" w:customStyle="1" w:styleId="Heading6Char">
    <w:name w:val="Heading 6 Char"/>
    <w:basedOn w:val="DefaultParagraphFont"/>
    <w:link w:val="Heading6"/>
    <w:uiPriority w:val="9"/>
    <w:semiHidden/>
    <w:rsid w:val="000824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24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24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243A"/>
    <w:rPr>
      <w:rFonts w:eastAsiaTheme="majorEastAsia" w:cstheme="majorBidi"/>
      <w:color w:val="272727" w:themeColor="text1" w:themeTint="D8"/>
    </w:rPr>
  </w:style>
  <w:style w:type="paragraph" w:customStyle="1" w:styleId="Auflistung1">
    <w:name w:val="Auflistung 1"/>
    <w:basedOn w:val="Normal"/>
    <w:qFormat/>
    <w:rsid w:val="001042BE"/>
    <w:pPr>
      <w:numPr>
        <w:numId w:val="1"/>
      </w:numPr>
    </w:pPr>
  </w:style>
  <w:style w:type="paragraph" w:styleId="Title">
    <w:name w:val="Title"/>
    <w:basedOn w:val="Normal"/>
    <w:next w:val="Normal"/>
    <w:link w:val="TitleChar"/>
    <w:uiPriority w:val="10"/>
    <w:qFormat/>
    <w:rsid w:val="00B065CB"/>
    <w:pPr>
      <w:spacing w:line="480" w:lineRule="exact"/>
      <w:contextualSpacing/>
    </w:pPr>
    <w:rPr>
      <w:rFonts w:asciiTheme="majorHAnsi" w:eastAsiaTheme="majorEastAsia" w:hAnsiTheme="majorHAnsi" w:cstheme="majorBidi"/>
      <w:b/>
      <w:color w:val="1E2A78" w:themeColor="accent1"/>
      <w:spacing w:val="-10"/>
      <w:kern w:val="28"/>
      <w:sz w:val="48"/>
      <w:szCs w:val="56"/>
    </w:rPr>
  </w:style>
  <w:style w:type="character" w:customStyle="1" w:styleId="TitleChar">
    <w:name w:val="Title Char"/>
    <w:basedOn w:val="DefaultParagraphFont"/>
    <w:link w:val="Title"/>
    <w:uiPriority w:val="10"/>
    <w:rsid w:val="00B065CB"/>
    <w:rPr>
      <w:rFonts w:asciiTheme="majorHAnsi" w:eastAsiaTheme="majorEastAsia" w:hAnsiTheme="majorHAnsi" w:cstheme="majorBidi"/>
      <w:b/>
      <w:color w:val="1E2A78" w:themeColor="accent1"/>
      <w:spacing w:val="-10"/>
      <w:kern w:val="28"/>
      <w:sz w:val="48"/>
      <w:szCs w:val="56"/>
      <w:lang w:eastAsia="de-DE"/>
      <w14:ligatures w14:val="none"/>
    </w:rPr>
  </w:style>
  <w:style w:type="paragraph" w:styleId="Subtitle">
    <w:name w:val="Subtitle"/>
    <w:basedOn w:val="Normal"/>
    <w:next w:val="Normal"/>
    <w:link w:val="SubtitleChar"/>
    <w:uiPriority w:val="11"/>
    <w:qFormat/>
    <w:rsid w:val="00B065CB"/>
    <w:pPr>
      <w:numPr>
        <w:ilvl w:val="1"/>
      </w:numPr>
      <w:spacing w:after="160"/>
    </w:pPr>
    <w:rPr>
      <w:rFonts w:asciiTheme="minorHAnsi" w:eastAsiaTheme="majorEastAsia" w:hAnsiTheme="minorHAnsi" w:cstheme="majorBidi"/>
      <w:color w:val="1E2A78" w:themeColor="accent1"/>
      <w:sz w:val="28"/>
      <w:szCs w:val="28"/>
    </w:rPr>
  </w:style>
  <w:style w:type="character" w:customStyle="1" w:styleId="SubtitleChar">
    <w:name w:val="Subtitle Char"/>
    <w:basedOn w:val="DefaultParagraphFont"/>
    <w:link w:val="Subtitle"/>
    <w:uiPriority w:val="11"/>
    <w:rsid w:val="00B065CB"/>
    <w:rPr>
      <w:rFonts w:eastAsiaTheme="majorEastAsia" w:cstheme="majorBidi"/>
      <w:color w:val="1E2A78" w:themeColor="accent1"/>
      <w:kern w:val="0"/>
      <w:sz w:val="28"/>
      <w:szCs w:val="28"/>
      <w:lang w:eastAsia="de-DE"/>
      <w14:ligatures w14:val="none"/>
    </w:rPr>
  </w:style>
  <w:style w:type="paragraph" w:styleId="Quote">
    <w:name w:val="Quote"/>
    <w:basedOn w:val="Normal"/>
    <w:next w:val="Normal"/>
    <w:link w:val="QuoteChar"/>
    <w:uiPriority w:val="29"/>
    <w:rsid w:val="00B065CB"/>
    <w:pPr>
      <w:spacing w:before="160"/>
    </w:pPr>
    <w:rPr>
      <w:i/>
      <w:iCs/>
      <w:color w:val="1E2A78" w:themeColor="accent1"/>
    </w:rPr>
  </w:style>
  <w:style w:type="character" w:customStyle="1" w:styleId="QuoteChar">
    <w:name w:val="Quote Char"/>
    <w:basedOn w:val="DefaultParagraphFont"/>
    <w:link w:val="Quote"/>
    <w:uiPriority w:val="29"/>
    <w:rsid w:val="00B065CB"/>
    <w:rPr>
      <w:rFonts w:ascii="DeutscheBank" w:eastAsia="Times New Roman" w:hAnsi="DeutscheBank" w:cs="Times New Roman"/>
      <w:i/>
      <w:iCs/>
      <w:color w:val="1E2A78" w:themeColor="accent1"/>
      <w:kern w:val="0"/>
      <w:sz w:val="20"/>
      <w:szCs w:val="20"/>
      <w:lang w:eastAsia="de-DE"/>
      <w14:ligatures w14:val="none"/>
    </w:rPr>
  </w:style>
  <w:style w:type="character" w:styleId="SubtleReference">
    <w:name w:val="Subtle Reference"/>
    <w:basedOn w:val="DefaultParagraphFont"/>
    <w:uiPriority w:val="31"/>
    <w:rsid w:val="00B065CB"/>
    <w:rPr>
      <w:caps w:val="0"/>
      <w:smallCaps w:val="0"/>
      <w:color w:val="5A5A5A" w:themeColor="text1" w:themeTint="A5"/>
    </w:rPr>
  </w:style>
  <w:style w:type="character" w:styleId="IntenseReference">
    <w:name w:val="Intense Reference"/>
    <w:basedOn w:val="DefaultParagraphFont"/>
    <w:uiPriority w:val="32"/>
    <w:rsid w:val="00B065CB"/>
    <w:rPr>
      <w:b/>
      <w:bCs/>
      <w:caps w:val="0"/>
      <w:smallCaps w:val="0"/>
      <w:color w:val="161F59" w:themeColor="accent1" w:themeShade="BF"/>
      <w:spacing w:val="5"/>
    </w:rPr>
  </w:style>
  <w:style w:type="paragraph" w:customStyle="1" w:styleId="Auflistung2">
    <w:name w:val="Auflistung 2"/>
    <w:basedOn w:val="Auflistung1"/>
    <w:qFormat/>
    <w:rsid w:val="00720B5B"/>
    <w:pPr>
      <w:ind w:left="567"/>
    </w:pPr>
  </w:style>
  <w:style w:type="character" w:styleId="Strong">
    <w:name w:val="Strong"/>
    <w:basedOn w:val="DefaultParagraphFont"/>
    <w:uiPriority w:val="22"/>
    <w:qFormat/>
    <w:rsid w:val="00B065CB"/>
    <w:rPr>
      <w:b/>
      <w:bCs/>
    </w:rPr>
  </w:style>
  <w:style w:type="paragraph" w:customStyle="1" w:styleId="Auflistung3">
    <w:name w:val="Auflistung 3"/>
    <w:basedOn w:val="Auflistung2"/>
    <w:qFormat/>
    <w:rsid w:val="00720B5B"/>
    <w:pPr>
      <w:ind w:left="851"/>
    </w:pPr>
    <w:rPr>
      <w:sz w:val="16"/>
      <w:szCs w:val="16"/>
    </w:rPr>
  </w:style>
  <w:style w:type="character" w:customStyle="1" w:styleId="DeepBlue">
    <w:name w:val="Deep Blue"/>
    <w:basedOn w:val="DefaultParagraphFont"/>
    <w:uiPriority w:val="1"/>
    <w:qFormat/>
    <w:rsid w:val="00720B5B"/>
    <w:rPr>
      <w:color w:val="1E2A78" w:themeColor="accent1"/>
    </w:rPr>
  </w:style>
  <w:style w:type="paragraph" w:styleId="Footer">
    <w:name w:val="footer"/>
    <w:basedOn w:val="Normal"/>
    <w:link w:val="FooterChar"/>
    <w:unhideWhenUsed/>
    <w:rsid w:val="00612964"/>
    <w:pPr>
      <w:tabs>
        <w:tab w:val="center" w:pos="4513"/>
        <w:tab w:val="right" w:pos="9921"/>
      </w:tabs>
    </w:pPr>
    <w:rPr>
      <w:sz w:val="12"/>
      <w:szCs w:val="12"/>
    </w:rPr>
  </w:style>
  <w:style w:type="character" w:customStyle="1" w:styleId="FooterChar">
    <w:name w:val="Footer Char"/>
    <w:basedOn w:val="DefaultParagraphFont"/>
    <w:link w:val="Footer"/>
    <w:rsid w:val="00612964"/>
    <w:rPr>
      <w:rFonts w:ascii="DeutscheBank" w:eastAsia="Times New Roman" w:hAnsi="DeutscheBank" w:cs="Times New Roman"/>
      <w:kern w:val="0"/>
      <w:sz w:val="12"/>
      <w:szCs w:val="12"/>
      <w:lang w:eastAsia="de-DE"/>
      <w14:ligatures w14:val="none"/>
    </w:rPr>
  </w:style>
  <w:style w:type="paragraph" w:customStyle="1" w:styleId="Identifier">
    <w:name w:val="Identifier"/>
    <w:basedOn w:val="Wortmarke"/>
    <w:rsid w:val="00612964"/>
    <w:rPr>
      <w:rFonts w:asciiTheme="majorHAnsi" w:hAnsiTheme="majorHAnsi"/>
      <w:b w:val="0"/>
      <w:noProof/>
    </w:rPr>
  </w:style>
  <w:style w:type="paragraph" w:customStyle="1" w:styleId="Wortmarke">
    <w:name w:val="Wortmarke"/>
    <w:basedOn w:val="Normal"/>
    <w:next w:val="Identifier"/>
    <w:rsid w:val="00612964"/>
    <w:pPr>
      <w:spacing w:line="240" w:lineRule="exact"/>
    </w:pPr>
    <w:rPr>
      <w:b/>
      <w:bCs/>
      <w:color w:val="1E2A78" w:themeColor="accent1"/>
      <w:sz w:val="24"/>
      <w:szCs w:val="24"/>
    </w:rPr>
  </w:style>
  <w:style w:type="character" w:customStyle="1" w:styleId="MidBlue">
    <w:name w:val="Mid Blue"/>
    <w:uiPriority w:val="1"/>
    <w:qFormat/>
    <w:rsid w:val="00720B5B"/>
    <w:rPr>
      <w:color w:val="0069B1" w:themeColor="accent2"/>
    </w:rPr>
  </w:style>
  <w:style w:type="character" w:customStyle="1" w:styleId="Weiss">
    <w:name w:val="Weiss"/>
    <w:uiPriority w:val="1"/>
    <w:qFormat/>
    <w:rsid w:val="00720B5B"/>
    <w:rPr>
      <w:color w:val="FFFFFF" w:themeColor="background1"/>
    </w:rPr>
  </w:style>
  <w:style w:type="paragraph" w:styleId="Header">
    <w:name w:val="header"/>
    <w:basedOn w:val="Normal"/>
    <w:link w:val="HeaderChar"/>
    <w:uiPriority w:val="99"/>
    <w:unhideWhenUsed/>
    <w:rsid w:val="00D02FA5"/>
    <w:pPr>
      <w:tabs>
        <w:tab w:val="center" w:pos="4513"/>
        <w:tab w:val="right" w:pos="9026"/>
      </w:tabs>
    </w:pPr>
  </w:style>
  <w:style w:type="character" w:customStyle="1" w:styleId="HeaderChar">
    <w:name w:val="Header Char"/>
    <w:basedOn w:val="DefaultParagraphFont"/>
    <w:link w:val="Header"/>
    <w:uiPriority w:val="99"/>
    <w:rsid w:val="00D02FA5"/>
    <w:rPr>
      <w:rFonts w:ascii="DeutscheBank" w:eastAsia="Times New Roman" w:hAnsi="DeutscheBank" w:cs="Times New Roman"/>
      <w:kern w:val="0"/>
      <w:sz w:val="20"/>
      <w:szCs w:val="20"/>
      <w:lang w:eastAsia="de-DE"/>
      <w14:ligatures w14:val="none"/>
    </w:rPr>
  </w:style>
  <w:style w:type="paragraph" w:styleId="ListParagraph">
    <w:name w:val="List Paragraph"/>
    <w:basedOn w:val="Auflistung1"/>
    <w:uiPriority w:val="2"/>
    <w:qFormat/>
    <w:rsid w:val="00720B5B"/>
  </w:style>
  <w:style w:type="character" w:customStyle="1" w:styleId="DeutscheBankMedium">
    <w:name w:val="DeutscheBank Medium"/>
    <w:uiPriority w:val="1"/>
    <w:qFormat/>
    <w:rsid w:val="00B11E20"/>
    <w:rPr>
      <w:rFonts w:ascii="DeutscheBank Medium" w:hAnsi="DeutscheBank Medium"/>
    </w:rPr>
  </w:style>
  <w:style w:type="character" w:styleId="Hyperlink">
    <w:name w:val="Hyperlink"/>
    <w:uiPriority w:val="99"/>
    <w:unhideWhenUsed/>
    <w:rsid w:val="0008751D"/>
    <w:rPr>
      <w:color w:val="0563C1"/>
      <w:u w:val="single"/>
    </w:rPr>
  </w:style>
  <w:style w:type="paragraph" w:styleId="TOC1">
    <w:name w:val="toc 1"/>
    <w:basedOn w:val="Normal"/>
    <w:next w:val="Normal"/>
    <w:autoRedefine/>
    <w:uiPriority w:val="39"/>
    <w:unhideWhenUsed/>
    <w:rsid w:val="006D28CE"/>
    <w:pPr>
      <w:tabs>
        <w:tab w:val="left" w:pos="480"/>
        <w:tab w:val="right" w:leader="dot" w:pos="9062"/>
      </w:tabs>
      <w:spacing w:after="100"/>
    </w:pPr>
    <w:rPr>
      <w:rFonts w:ascii="DeutscheBank" w:hAnsi="DeutscheBank"/>
      <w:b/>
      <w:bCs/>
      <w:noProof/>
      <w:color w:val="1E2A78" w:themeColor="accent1"/>
      <w:lang w:val="en-GB"/>
    </w:rPr>
  </w:style>
  <w:style w:type="paragraph" w:styleId="TOC2">
    <w:name w:val="toc 2"/>
    <w:basedOn w:val="Normal"/>
    <w:next w:val="Normal"/>
    <w:autoRedefine/>
    <w:uiPriority w:val="39"/>
    <w:unhideWhenUsed/>
    <w:rsid w:val="0008751D"/>
    <w:pPr>
      <w:spacing w:after="100"/>
      <w:ind w:left="210"/>
    </w:pPr>
  </w:style>
  <w:style w:type="paragraph" w:customStyle="1" w:styleId="Copy">
    <w:name w:val="Copy"/>
    <w:basedOn w:val="Normal"/>
    <w:uiPriority w:val="1"/>
    <w:qFormat/>
    <w:rsid w:val="0008751D"/>
    <w:pPr>
      <w:spacing w:after="260" w:line="260" w:lineRule="atLeast"/>
    </w:pPr>
    <w:rPr>
      <w:rFonts w:asciiTheme="minorHAnsi" w:eastAsiaTheme="minorHAnsi" w:hAnsiTheme="minorHAnsi" w:cstheme="minorBidi"/>
      <w:color w:val="auto"/>
      <w:sz w:val="20"/>
      <w:szCs w:val="24"/>
      <w:lang w:val="en-US" w:eastAsia="en-US"/>
      <w14:ligatures w14:val="standardContextual"/>
    </w:rPr>
  </w:style>
  <w:style w:type="paragraph" w:styleId="Caption">
    <w:name w:val="caption"/>
    <w:basedOn w:val="Normal"/>
    <w:next w:val="Normal"/>
    <w:uiPriority w:val="35"/>
    <w:unhideWhenUsed/>
    <w:qFormat/>
    <w:rsid w:val="0008751D"/>
    <w:pPr>
      <w:spacing w:before="260"/>
    </w:pPr>
    <w:rPr>
      <w:rFonts w:asciiTheme="minorHAnsi" w:eastAsiaTheme="minorHAnsi" w:hAnsiTheme="minorHAnsi" w:cstheme="minorBidi"/>
      <w:b/>
      <w:iCs/>
      <w:color w:val="000000" w:themeColor="text1"/>
      <w:sz w:val="20"/>
      <w:szCs w:val="18"/>
      <w:lang w:val="en-US" w:eastAsia="en-US"/>
      <w14:ligatures w14:val="standardContextual"/>
    </w:rPr>
  </w:style>
  <w:style w:type="paragraph" w:styleId="Revision">
    <w:name w:val="Revision"/>
    <w:hidden/>
    <w:uiPriority w:val="99"/>
    <w:semiHidden/>
    <w:rsid w:val="00521A5B"/>
    <w:pPr>
      <w:spacing w:after="0" w:line="240" w:lineRule="auto"/>
    </w:pPr>
    <w:rPr>
      <w:rFonts w:ascii="Arial" w:eastAsia="Arial" w:hAnsi="Arial" w:cs="Arial"/>
      <w:color w:val="222222"/>
      <w:kern w:val="0"/>
      <w:sz w:val="21"/>
      <w:szCs w:val="21"/>
      <w:lang w:eastAsia="de-DE"/>
      <w14:ligatures w14:val="none"/>
    </w:rPr>
  </w:style>
  <w:style w:type="character" w:styleId="Mention">
    <w:name w:val="Mention"/>
    <w:basedOn w:val="DefaultParagraphFont"/>
    <w:uiPriority w:val="99"/>
    <w:unhideWhenUsed/>
    <w:rsid w:val="006773E2"/>
    <w:rPr>
      <w:color w:val="2B579A"/>
      <w:shd w:val="clear" w:color="auto" w:fill="E1DFDD"/>
    </w:rPr>
  </w:style>
  <w:style w:type="paragraph" w:styleId="NormalWeb">
    <w:name w:val="Normal (Web)"/>
    <w:basedOn w:val="Normal"/>
    <w:uiPriority w:val="99"/>
    <w:semiHidden/>
    <w:unhideWhenUsed/>
    <w:rsid w:val="004A1869"/>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F42910"/>
    <w:rPr>
      <w:color w:val="00A3E0" w:themeColor="followedHyperlink"/>
      <w:u w:val="single"/>
    </w:rPr>
  </w:style>
  <w:style w:type="paragraph" w:styleId="TOCHeading">
    <w:name w:val="TOC Heading"/>
    <w:basedOn w:val="Heading1"/>
    <w:next w:val="Normal"/>
    <w:uiPriority w:val="39"/>
    <w:unhideWhenUsed/>
    <w:qFormat/>
    <w:rsid w:val="00513AC3"/>
    <w:pPr>
      <w:numPr>
        <w:numId w:val="0"/>
      </w:numPr>
      <w:suppressAutoHyphens w:val="0"/>
      <w:spacing w:before="240" w:line="259" w:lineRule="auto"/>
      <w:contextualSpacing w:val="0"/>
      <w:outlineLvl w:val="9"/>
    </w:pPr>
    <w:rPr>
      <w:b w:val="0"/>
      <w:bCs w:val="0"/>
      <w:noProof w:val="0"/>
      <w:color w:val="161F59" w:themeColor="accent1" w:themeShade="BF"/>
    </w:rPr>
  </w:style>
  <w:style w:type="paragraph" w:customStyle="1" w:styleId="Intro">
    <w:name w:val="Intro"/>
    <w:basedOn w:val="Subtitle"/>
    <w:uiPriority w:val="12"/>
    <w:qFormat/>
    <w:rsid w:val="007B5D4C"/>
    <w:pPr>
      <w:spacing w:after="0" w:line="260" w:lineRule="atLeast"/>
      <w:ind w:left="-567"/>
    </w:pPr>
    <w:rPr>
      <w:color w:val="FFFFFF" w:themeColor="background1"/>
      <w:sz w:val="20"/>
      <w:szCs w:val="32"/>
      <w:lang w:eastAsia="en-US"/>
      <w14:ligatures w14:val="standardContextual"/>
    </w:rPr>
  </w:style>
  <w:style w:type="paragraph" w:customStyle="1" w:styleId="CommentText1">
    <w:name w:val="Comment Text1"/>
    <w:basedOn w:val="Normal"/>
    <w:uiPriority w:val="99"/>
    <w:unhideWhenUsed/>
    <w:rsid w:val="00E03C39"/>
    <w:rPr>
      <w:sz w:val="20"/>
      <w:szCs w:val="20"/>
    </w:rPr>
  </w:style>
  <w:style w:type="character" w:customStyle="1" w:styleId="CommentReference1">
    <w:name w:val="Comment Reference1"/>
    <w:basedOn w:val="DefaultParagraphFont"/>
    <w:uiPriority w:val="99"/>
    <w:semiHidden/>
    <w:unhideWhenUsed/>
    <w:rsid w:val="00E03C39"/>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Arial" w:hAnsi="Arial" w:cs="Arial"/>
      <w:color w:val="222222"/>
      <w:kern w:val="0"/>
      <w:sz w:val="20"/>
      <w:szCs w:val="20"/>
      <w:lang w:eastAsia="de-DE"/>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67E6C"/>
    <w:rPr>
      <w:b/>
      <w:bCs/>
    </w:rPr>
  </w:style>
  <w:style w:type="character" w:customStyle="1" w:styleId="CommentSubjectChar">
    <w:name w:val="Comment Subject Char"/>
    <w:basedOn w:val="CommentTextChar"/>
    <w:link w:val="CommentSubject"/>
    <w:uiPriority w:val="99"/>
    <w:semiHidden/>
    <w:rsid w:val="00667E6C"/>
    <w:rPr>
      <w:rFonts w:ascii="Arial" w:eastAsia="Arial" w:hAnsi="Arial" w:cs="Arial"/>
      <w:b/>
      <w:bCs/>
      <w:color w:val="222222"/>
      <w:kern w:val="0"/>
      <w:sz w:val="20"/>
      <w:szCs w:val="2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png"/><Relationship Id="rId39" Type="http://schemas.openxmlformats.org/officeDocument/2006/relationships/fontTable" Target="fontTable.xml"/><Relationship Id="rId21" Type="http://schemas.openxmlformats.org/officeDocument/2006/relationships/image" Target="media/image11.png"/><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jpeg"/><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https://deutschebank.sharepoint.com/sites/DeutscheBankCorporateDesign/MS%20Templates/db-word-template-a4-de-2025-02-04.dotx" TargetMode="External"/></Relationships>
</file>

<file path=word/theme/theme1.xml><?xml version="1.0" encoding="utf-8"?>
<a:theme xmlns:a="http://schemas.openxmlformats.org/drawingml/2006/main" name="db25-bright-2025-01">
  <a:themeElements>
    <a:clrScheme name="DB 2024 09">
      <a:dk1>
        <a:srgbClr val="000000"/>
      </a:dk1>
      <a:lt1>
        <a:srgbClr val="FFFFFF"/>
      </a:lt1>
      <a:dk2>
        <a:srgbClr val="16184E"/>
      </a:dk2>
      <a:lt2>
        <a:srgbClr val="CCEDF9"/>
      </a:lt2>
      <a:accent1>
        <a:srgbClr val="1E2A78"/>
      </a:accent1>
      <a:accent2>
        <a:srgbClr val="0069B1"/>
      </a:accent2>
      <a:accent3>
        <a:srgbClr val="3BB8B8"/>
      </a:accent3>
      <a:accent4>
        <a:srgbClr val="24778D"/>
      </a:accent4>
      <a:accent5>
        <a:srgbClr val="25A62D"/>
      </a:accent5>
      <a:accent6>
        <a:srgbClr val="C9DD03"/>
      </a:accent6>
      <a:hlink>
        <a:srgbClr val="00A3E0"/>
      </a:hlink>
      <a:folHlink>
        <a:srgbClr val="00A3E0"/>
      </a:folHlink>
    </a:clrScheme>
    <a:fontScheme name="Deutsche Bank 2024 09">
      <a:majorFont>
        <a:latin typeface="DeutscheBank"/>
        <a:ea typeface="MS PGothic"/>
        <a:cs typeface=""/>
      </a:majorFont>
      <a:minorFont>
        <a:latin typeface="DeutscheBan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txDef>
      <a:spPr>
        <a:noFill/>
      </a:spPr>
      <a:bodyPr wrap="none" lIns="0" tIns="0" rIns="0" bIns="0" rtlCol="0">
        <a:spAutoFit/>
      </a:bodyPr>
      <a:lstStyle>
        <a:defPPr algn="l">
          <a:defRPr sz="1400" dirty="0" smtClean="0"/>
        </a:defPPr>
      </a:lstStyle>
    </a:txDef>
  </a:objectDefaults>
  <a:extraClrSchemeLst/>
  <a:custClrLst>
    <a:custClr name="Deep Blue">
      <a:srgbClr val="1E2A78"/>
    </a:custClr>
    <a:custClr name="Dark Blue">
      <a:srgbClr val="16184E"/>
    </a:custClr>
    <a:custClr name="Mid Blue">
      <a:srgbClr val="0069B1"/>
    </a:custClr>
    <a:custClr name="Bright Blue">
      <a:srgbClr val="34A6DC"/>
    </a:custClr>
    <a:custClr name="Light Blue">
      <a:srgbClr val="CDEBF6"/>
    </a:custClr>
    <a:custClr name="Ice Blue">
      <a:srgbClr val="ECF4FC"/>
    </a:custClr>
    <a:custClr name="Grey">
      <a:srgbClr val="EDF1F7"/>
    </a:custClr>
    <a:custClr name="Light Violet">
      <a:srgbClr val="C18EBD"/>
    </a:custClr>
    <a:custClr name="Rubine Red">
      <a:srgbClr val="D4065D"/>
    </a:custClr>
    <a:custClr name="White">
      <a:srgbClr val="FFFFFF"/>
    </a:custClr>
    <a:custClr name="Turquoise">
      <a:srgbClr val="3BB8B8"/>
    </a:custClr>
    <a:custClr name="Petrol">
      <a:srgbClr val="24778D"/>
    </a:custClr>
    <a:custClr name="Summer Green">
      <a:srgbClr val="25A62D"/>
    </a:custClr>
    <a:custClr name="Spring Green">
      <a:srgbClr val="C9DD03"/>
    </a:custClr>
    <a:custClr name="Autumn Green">
      <a:srgbClr val="A1AC05"/>
    </a:custClr>
    <a:custClr name="Lucent Yellow">
      <a:srgbClr val="FFE600"/>
    </a:custClr>
    <a:custClr name="Sundown Orange">
      <a:srgbClr val="F28011"/>
    </a:custClr>
    <a:custClr name="Night Violet">
      <a:srgbClr val="431661"/>
    </a:custClr>
    <a:custClr name="Bright Red">
      <a:srgbClr val="E7001D"/>
    </a:custClr>
    <a:custClr name="White">
      <a:srgbClr val="FFFFFF"/>
    </a:custClr>
  </a:custClrLst>
  <a:extLst>
    <a:ext uri="{05A4C25C-085E-4340-85A3-A5531E510DB2}">
      <thm15:themeFamily xmlns:thm15="http://schemas.microsoft.com/office/thememl/2012/main" name="db25-bright-2025-01" id="{CA244B49-EAEF-48DF-84C1-A9E7ED5098D5}" vid="{563B4E59-7B47-4CC4-B526-8B6322A615F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3196A874D01049B1A03260E77D8D3A" ma:contentTypeVersion="15" ma:contentTypeDescription="Create a new document." ma:contentTypeScope="" ma:versionID="5c2e770ede307a4b58419cb6202f5955">
  <xsd:schema xmlns:xsd="http://www.w3.org/2001/XMLSchema" xmlns:xs="http://www.w3.org/2001/XMLSchema" xmlns:p="http://schemas.microsoft.com/office/2006/metadata/properties" xmlns:ns1="http://schemas.microsoft.com/sharepoint/v3" xmlns:ns2="d81d000a-7f1e-494a-895f-a83bd7b1e289" xmlns:ns3="a31fefd6-978c-4300-9ea1-09d31710d4c6" targetNamespace="http://schemas.microsoft.com/office/2006/metadata/properties" ma:root="true" ma:fieldsID="87fc4c7c07a4716031da3c15ff6d072c" ns1:_="" ns2:_="" ns3:_="">
    <xsd:import namespace="http://schemas.microsoft.com/sharepoint/v3"/>
    <xsd:import namespace="d81d000a-7f1e-494a-895f-a83bd7b1e289"/>
    <xsd:import namespace="a31fefd6-978c-4300-9ea1-09d31710d4c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element ref="ns1:_ip_UnifiedCompliancePolicyProperties" minOccurs="0"/>
                <xsd:element ref="ns1:_ip_UnifiedCompliancePolicyUIActio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1d000a-7f1e-494a-895f-a83bd7b1e2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fc7666e-d55c-42e6-98c7-52deeb412ae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1fefd6-978c-4300-9ea1-09d31710d4c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94edd86-cdce-4e1a-8deb-61ec6acdb099}" ma:internalName="TaxCatchAll" ma:showField="CatchAllData" ma:web="a31fefd6-978c-4300-9ea1-09d31710d4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d000a-7f1e-494a-895f-a83bd7b1e289">
      <Terms xmlns="http://schemas.microsoft.com/office/infopath/2007/PartnerControls"/>
    </lcf76f155ced4ddcb4097134ff3c332f>
    <TaxCatchAll xmlns="a31fefd6-978c-4300-9ea1-09d31710d4c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2CF5F-446C-4C3C-8E15-74B71814DE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81d000a-7f1e-494a-895f-a83bd7b1e289"/>
    <ds:schemaRef ds:uri="a31fefd6-978c-4300-9ea1-09d31710d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7B97F1-09C8-494D-A5FE-5E0DDC46FACE}">
  <ds:schemaRefs>
    <ds:schemaRef ds:uri="http://schemas.microsoft.com/office/2006/metadata/properties"/>
    <ds:schemaRef ds:uri="http://schemas.microsoft.com/office/infopath/2007/PartnerControls"/>
    <ds:schemaRef ds:uri="http://schemas.microsoft.com/sharepoint/v3"/>
    <ds:schemaRef ds:uri="d81d000a-7f1e-494a-895f-a83bd7b1e289"/>
    <ds:schemaRef ds:uri="a31fefd6-978c-4300-9ea1-09d31710d4c6"/>
  </ds:schemaRefs>
</ds:datastoreItem>
</file>

<file path=customXml/itemProps3.xml><?xml version="1.0" encoding="utf-8"?>
<ds:datastoreItem xmlns:ds="http://schemas.openxmlformats.org/officeDocument/2006/customXml" ds:itemID="{AF0444DD-C087-48D4-8D66-E4D9D136F7AE}">
  <ds:schemaRefs>
    <ds:schemaRef ds:uri="http://schemas.microsoft.com/sharepoint/v3/contenttype/forms"/>
  </ds:schemaRefs>
</ds:datastoreItem>
</file>

<file path=customXml/itemProps4.xml><?xml version="1.0" encoding="utf-8"?>
<ds:datastoreItem xmlns:ds="http://schemas.openxmlformats.org/officeDocument/2006/customXml" ds:itemID="{4E9BDD2C-42A1-41C2-86A6-81CCE0B4F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db-word-template-a4-de-2025-02-04.dotx</Template>
  <TotalTime>0</TotalTime>
  <Pages>25</Pages>
  <Words>4347</Words>
  <Characters>27391</Characters>
  <Application>Microsoft Office Word</Application>
  <DocSecurity>0</DocSecurity>
  <Lines>228</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Sentiment Survey on Europe – full report</dc:title>
  <dc:subject/>
  <dc:creator>Eva Butz</dc:creator>
  <cp:keywords>Public</cp:keywords>
  <dc:description/>
  <cp:lastModifiedBy>Jacques Regnier</cp:lastModifiedBy>
  <cp:revision>659</cp:revision>
  <dcterms:created xsi:type="dcterms:W3CDTF">2026-09-11T05:29:00Z</dcterms:created>
  <dcterms:modified xsi:type="dcterms:W3CDTF">2026-09-21T08:11:00Z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0x0101009D3196A874D01049B1A03260E77D8D3A</vt:lpwstr>
  </property>
  <property fmtid="{D5CDD505-2E9C-101B-9397-08002B2CF9AE}" pid="3" name="ClassificationContentMarkingFooterFontProps">
    <vt:lpwstr>#000000,10,Aptos</vt:lpwstr>
  </property>
  <property fmtid="{D5CDD505-2E9C-101B-9397-08002B2CF9AE}" pid="4" name="MediaServiceImageTags">
    <vt:lpwstr/>
  </property>
  <property fmtid="{D5CDD505-2E9C-101B-9397-08002B2CF9AE}" pid="5" name="docLang">
    <vt:lpwstr>en</vt:lpwstr>
  </property>
  <property fmtid="{D5CDD505-2E9C-101B-9397-08002B2CF9AE}" pid="6" name="ClassificationContentMarkingFooterShapeIds">
    <vt:lpwstr>12ed8f30,4c0cb7d5,439eb7a6</vt:lpwstr>
  </property>
  <property fmtid="{D5CDD505-2E9C-101B-9397-08002B2CF9AE}" pid="7" name="ClassificationContentMarkingFooterText">
    <vt:lpwstr> </vt:lpwstr>
  </property>
  <property fmtid="{D5CDD505-2E9C-101B-9397-08002B2CF9AE}" pid="8" name="MSIP_Label_958510b9-3810-472f-9abf-3a689c488070_Enabled">
    <vt:lpwstr>true</vt:lpwstr>
  </property>
  <property fmtid="{D5CDD505-2E9C-101B-9397-08002B2CF9AE}" pid="9" name="MSIP_Label_958510b9-3810-472f-9abf-3a689c488070_SetDate">
    <vt:lpwstr>2026-09-16T16:09:04Z</vt:lpwstr>
  </property>
  <property fmtid="{D5CDD505-2E9C-101B-9397-08002B2CF9AE}" pid="10" name="MSIP_Label_958510b9-3810-472f-9abf-3a689c488070_Method">
    <vt:lpwstr>Privileged</vt:lpwstr>
  </property>
  <property fmtid="{D5CDD505-2E9C-101B-9397-08002B2CF9AE}" pid="11" name="MSIP_Label_958510b9-3810-472f-9abf-3a689c488070_Name">
    <vt:lpwstr>958510b9-3810-472f-9abf-3a689c488070</vt:lpwstr>
  </property>
  <property fmtid="{D5CDD505-2E9C-101B-9397-08002B2CF9AE}" pid="12" name="MSIP_Label_958510b9-3810-472f-9abf-3a689c488070_SiteId">
    <vt:lpwstr>1e9b61e8-e590-4abc-b1af-24125e330d2a</vt:lpwstr>
  </property>
  <property fmtid="{D5CDD505-2E9C-101B-9397-08002B2CF9AE}" pid="13" name="MSIP_Label_958510b9-3810-472f-9abf-3a689c488070_ActionId">
    <vt:lpwstr>ea42dac2-8214-403e-b79a-191922070364</vt:lpwstr>
  </property>
  <property fmtid="{D5CDD505-2E9C-101B-9397-08002B2CF9AE}" pid="14" name="MSIP_Label_958510b9-3810-472f-9abf-3a689c488070_ContentBits">
    <vt:lpwstr>3</vt:lpwstr>
  </property>
  <property fmtid="{D5CDD505-2E9C-101B-9397-08002B2CF9AE}" pid="15" name="MSIP_Label_958510b9-3810-472f-9abf-3a689c488070_Tag">
    <vt:lpwstr>10, 0, 1, 1</vt:lpwstr>
  </property>
</Properties>
</file>